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left="2883" w:hanging="1606"/>
        <w:spacing w:before="240" w:after="240" w:line="560" w:lineRule="exac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项目名称：扬州市邗江区城市管理局2026-2028年邗</w:t>
      </w:r>
      <w:r/>
    </w:p>
    <w:p>
      <w:pPr>
        <w:spacing w:before="240" w:after="240" w:line="560" w:lineRule="exac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江区拆除、装修垃圾收集处置服务</w:t>
      </w:r>
      <w:r>
        <w:rPr>
          <w:rFonts w:hint="eastAsia" w:ascii="宋体" w:hAnsi="宋体" w:cs="宋体"/>
          <w:b/>
          <w:color w:val="000000"/>
          <w:sz w:val="32"/>
        </w:rPr>
        <w:t xml:space="preserve">项目</w:t>
      </w:r>
      <w:r/>
    </w:p>
    <w:p>
      <w:pPr>
        <w:ind w:firstLine="1287"/>
        <w:spacing w:line="560" w:lineRule="exac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项目编号：JSZC-321003-JZCG-G2026-0004</w:t>
      </w:r>
      <w:r/>
    </w:p>
    <w:p>
      <w:pPr>
        <w:ind w:firstLine="1287"/>
        <w:spacing w:line="560" w:lineRule="exac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rPr>
          <w:rFonts w:hint="eastAsia"/>
          <w:b/>
          <w:bCs/>
          <w:sz w:val="32"/>
        </w:rPr>
        <w:t xml:space="preserve">邗江分中心</w:t>
      </w:r>
      <w:r/>
    </w:p>
    <w:p>
      <w:pPr>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2026</w:t>
      </w:r>
      <w:r>
        <w:rPr>
          <w:rFonts w:ascii="宋体" w:hAnsi="宋体" w:cs="宋体"/>
          <w:b/>
          <w:color w:val="000000"/>
          <w:sz w:val="32"/>
        </w:rPr>
        <w:t xml:space="preserve">年</w:t>
      </w:r>
      <w:r>
        <w:rPr>
          <w:rFonts w:hint="eastAsia" w:ascii="宋体" w:hAnsi="宋体" w:cs="宋体"/>
          <w:b/>
          <w:color w:val="000000"/>
          <w:sz w:val="32"/>
          <w:lang w:val="en-US" w:eastAsia="zh-CN"/>
        </w:rPr>
        <w:t xml:space="preserve">5</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投标邀请……………………………………3</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6</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lang w:val="en-US" w:eastAsia="zh-CN"/>
        </w:rPr>
        <w:t xml:space="preserve">5</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lang w:val="en-US" w:eastAsia="zh-CN"/>
        </w:rPr>
        <w:t xml:space="preserve">8</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25</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28</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38"/>
        <w:rPr>
          <w:rFonts w:ascii="宋体" w:hAnsi="宋体" w:cs="宋体"/>
          <w:color w:val="000000"/>
        </w:rPr>
      </w:pPr>
      <w:r>
        <w:rPr>
          <w:rFonts w:ascii="宋体" w:hAnsi="宋体" w:cs="宋体"/>
          <w:color w:val="000000"/>
        </w:rPr>
      </w:r>
      <w:r/>
    </w:p>
    <w:p>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
    </w:p>
    <w:p>
      <w:pPr>
        <w:pStyle w:val="939"/>
      </w:pPr>
      <w:r>
        <w:rPr>
          <w:rStyle w:val="974"/>
          <w:rFonts w:ascii="黑体" w:hAnsi="黑体" w:cs="黑体"/>
        </w:rPr>
        <w:t xml:space="preserve">第一章 投标邀请</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受[扬州市邗江区城市管理局]的委托，扬州市公共资源交易中心</w:t>
      </w:r>
      <w:r>
        <w:rPr>
          <w:rFonts w:hint="eastAsia" w:ascii="宋体" w:hAnsi="宋体" w:cs="宋体"/>
          <w:color w:val="000000"/>
          <w:sz w:val="24"/>
        </w:rPr>
        <w:t xml:space="preserve">邗江分中心</w:t>
      </w:r>
      <w:r>
        <w:rPr>
          <w:rFonts w:ascii="宋体" w:hAnsi="宋体" w:cs="宋体"/>
          <w:color w:val="000000"/>
          <w:sz w:val="24"/>
        </w:rPr>
        <w:t xml:space="preserve">就[扬州市邗江区城市管理局2026-2028年邗江区拆除、装修垃圾收集处置服务项目](</w:t>
      </w:r>
      <w:r>
        <w:rPr>
          <w:rFonts w:hint="eastAsia" w:ascii="宋体" w:hAnsi="宋体" w:cs="宋体"/>
          <w:color w:val="000000"/>
          <w:sz w:val="24"/>
        </w:rPr>
        <w:t xml:space="preserve">JSZC-321003-JZCG-G2026-000</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（扬州市邗江区城市管理局2026-2028年邗江区拆除、装修垃圾收集处置服务</w:t>
      </w:r>
      <w:r>
        <w:rPr>
          <w:rFonts w:hint="eastAsia" w:ascii="宋体" w:hAnsi="宋体" w:cs="宋体"/>
          <w:color w:val="000000"/>
          <w:sz w:val="24"/>
          <w:u w:val="single"/>
        </w:rPr>
        <w:t xml:space="preserve">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“江苏政府采购网”“扬州市政府采购网”“扬州市</w:t>
      </w:r>
      <w:r>
        <w:rPr>
          <w:rFonts w:hint="eastAsia" w:ascii="宋体" w:hAnsi="宋体" w:cs="宋体"/>
          <w:color w:val="000000"/>
          <w:sz w:val="24"/>
          <w:u w:val="single"/>
        </w:rPr>
        <w:t xml:space="preserve">邗江区</w:t>
      </w:r>
      <w:r>
        <w:rPr>
          <w:rFonts w:ascii="宋体" w:hAnsi="宋体" w:cs="宋体"/>
          <w:color w:val="000000"/>
          <w:sz w:val="24"/>
          <w:u w:val="single"/>
        </w:rPr>
        <w:t xml:space="preserve">政府采购网”</w:t>
      </w:r>
      <w:r>
        <w:rPr>
          <w:rFonts w:ascii="宋体" w:hAnsi="宋体" w:cs="宋体"/>
          <w:color w:val="000000"/>
          <w:sz w:val="24"/>
        </w:rPr>
        <w:t xml:space="preserve">自行免费下载招标文件，并于</w:t>
      </w:r>
      <w:r>
        <w:rPr>
          <w:rFonts w:hint="eastAsia" w:ascii="宋体" w:hAnsi="宋体" w:cs="宋体"/>
          <w:sz w:val="24"/>
          <w:u w:val="single"/>
        </w:rPr>
        <w:t xml:space="preserve">2026</w:t>
      </w:r>
      <w:r>
        <w:rPr>
          <w:rFonts w:ascii="宋体" w:hAnsi="宋体" w:cs="宋体"/>
          <w:sz w:val="24"/>
          <w:u w:val="single"/>
        </w:rPr>
        <w:t xml:space="preserve">年</w:t>
      </w:r>
      <w:r>
        <w:rPr>
          <w:rFonts w:hint="eastAsia" w:ascii="宋体" w:hAnsi="宋体" w:cs="宋体"/>
          <w:sz w:val="24"/>
          <w:u w:val="single"/>
          <w:lang w:val="en-US" w:eastAsia="zh-CN"/>
        </w:rPr>
        <w:t xml:space="preserve">6</w:t>
      </w:r>
      <w:r>
        <w:rPr>
          <w:rFonts w:ascii="宋体" w:hAnsi="宋体" w:cs="宋体"/>
          <w:sz w:val="24"/>
          <w:u w:val="single"/>
        </w:rPr>
        <w:t xml:space="preserve">月</w:t>
      </w:r>
      <w:r>
        <w:rPr>
          <w:rFonts w:hint="eastAsia" w:ascii="宋体" w:hAnsi="宋体" w:cs="宋体"/>
          <w:sz w:val="24"/>
          <w:u w:val="single"/>
          <w:lang w:val="en-US" w:eastAsia="zh-CN"/>
        </w:rPr>
        <w:t xml:space="preserve">2</w:t>
      </w:r>
      <w:r>
        <w:rPr>
          <w:rFonts w:ascii="宋体" w:hAnsi="宋体" w:cs="宋体"/>
          <w:sz w:val="24"/>
          <w:u w:val="single"/>
        </w:rPr>
        <w:t xml:space="preserve">日9点</w:t>
      </w:r>
      <w:r>
        <w:rPr>
          <w:rFonts w:hint="eastAsia" w:ascii="宋体" w:hAnsi="宋体" w:cs="宋体"/>
          <w:sz w:val="24"/>
          <w:u w:val="single"/>
        </w:rPr>
        <w:t xml:space="preserve">3</w:t>
      </w:r>
      <w:r>
        <w:rPr>
          <w:rFonts w:ascii="宋体" w:hAnsi="宋体" w:cs="宋体"/>
          <w:sz w:val="24"/>
          <w:u w:val="single"/>
        </w:rPr>
        <w:t xml:space="preserve">0分（</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：JSZC-321003-JZCG-G2026-000</w:t>
      </w:r>
      <w:r>
        <w:rPr>
          <w:rFonts w:hint="eastAsia" w:ascii="宋体" w:hAnsi="宋体" w:cs="宋体"/>
          <w:color w:val="000000"/>
          <w:sz w:val="24"/>
          <w:lang w:val="en-US" w:eastAsia="zh-CN"/>
        </w:rPr>
        <w:t xml:space="preserve">4</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2.项目名称：扬州市邗江区城市管理局2026-2028年邗江区拆除、装修垃圾收集处置服务</w:t>
      </w:r>
      <w:r>
        <w:rPr>
          <w:rFonts w:hint="eastAsia" w:ascii="宋体" w:hAnsi="宋体" w:cs="宋体"/>
          <w:color w:val="000000"/>
          <w:sz w:val="24"/>
        </w:rPr>
        <w:t xml:space="preserve">项目</w:t>
      </w:r>
      <w:r/>
    </w:p>
    <w:p>
      <w:pPr>
        <w:ind w:firstLine="480"/>
        <w:rPr>
          <w:rFonts w:ascii="宋体" w:hAnsi="宋体" w:cs="宋体"/>
          <w:color w:val="000000"/>
          <w:sz w:val="24"/>
        </w:rPr>
      </w:pPr>
      <w:r>
        <w:rPr>
          <w:rFonts w:ascii="宋体" w:hAnsi="宋体" w:cs="宋体"/>
          <w:color w:val="000000"/>
          <w:sz w:val="24"/>
        </w:rPr>
        <w:t xml:space="preserve">3.预算金额：</w:t>
      </w:r>
      <w:bookmarkStart w:id="0" w:name="_Hlk161165874"/>
      <w:r>
        <w:rPr>
          <w:rFonts w:hint="eastAsia" w:ascii="宋体" w:hAnsi="宋体" w:cs="宋体"/>
          <w:color w:val="000000"/>
          <w:sz w:val="24"/>
        </w:rPr>
        <w:t xml:space="preserve">人民币</w:t>
      </w:r>
      <w:r>
        <w:rPr>
          <w:rFonts w:hint="eastAsia" w:ascii="宋体" w:hAnsi="宋体" w:cs="宋体"/>
          <w:color w:val="000000"/>
          <w:sz w:val="24"/>
          <w:lang w:val="en-US" w:eastAsia="zh-CN"/>
        </w:rPr>
        <w:t xml:space="preserve">1000万元</w:t>
      </w:r>
      <w:r>
        <w:rPr>
          <w:rFonts w:hint="eastAsia" w:ascii="宋体" w:hAnsi="宋体"/>
          <w:sz w:val="24"/>
          <w:szCs w:val="24"/>
        </w:rPr>
        <w:t xml:space="preserve">/两年</w:t>
      </w:r>
      <w:r>
        <w:rPr>
          <w:rFonts w:hint="eastAsia" w:ascii="宋体" w:hAnsi="宋体" w:eastAsia="宋体" w:cs="宋体"/>
          <w:sz w:val="24"/>
          <w:szCs w:val="24"/>
          <w:highlight w:val="none"/>
        </w:rPr>
        <w:t xml:space="preserve">(500万/年)</w:t>
      </w:r>
      <w:r>
        <w:rPr>
          <w:rFonts w:hint="eastAsia" w:ascii="宋体" w:hAnsi="宋体" w:cs="宋体"/>
          <w:sz w:val="24"/>
          <w:szCs w:val="24"/>
          <w:highlight w:val="none"/>
          <w:lang w:eastAsia="zh-CN"/>
        </w:rPr>
        <w:t xml:space="preserve">，</w:t>
      </w:r>
      <w:r>
        <w:rPr>
          <w:rFonts w:hint="eastAsia" w:ascii="宋体" w:hAnsi="宋体" w:cs="宋体"/>
          <w:color w:val="000000"/>
          <w:sz w:val="24"/>
        </w:rPr>
        <w:t xml:space="preserve">95元/吨</w:t>
      </w:r>
      <w:r>
        <w:rPr>
          <w:rFonts w:hint="eastAsia" w:ascii="宋体" w:hAnsi="宋体" w:cs="宋体"/>
          <w:color w:val="000000"/>
          <w:sz w:val="24"/>
          <w:lang w:eastAsia="zh-CN"/>
        </w:rPr>
        <w:t xml:space="preserve">，</w:t>
      </w:r>
      <w:r>
        <w:rPr>
          <w:rFonts w:ascii="宋体" w:hAnsi="宋体" w:cs="宋体"/>
          <w:color w:val="000000"/>
          <w:sz w:val="24"/>
        </w:rPr>
        <w:t xml:space="preserve">投标人按照单价报价，按实结算</w:t>
      </w:r>
      <w:r>
        <w:rPr>
          <w:rFonts w:hint="eastAsia" w:ascii="宋体" w:hAnsi="宋体" w:cs="宋体"/>
          <w:color w:val="000000"/>
          <w:sz w:val="24"/>
        </w:rPr>
        <w:t xml:space="preserve">。</w:t>
      </w:r>
      <w:bookmarkEnd w:id="0"/>
      <w:r/>
      <w:r/>
    </w:p>
    <w:tbl>
      <w:tblPr>
        <w:tblStyle w:val="771"/>
        <w:tblW w:w="8940" w:type="dxa"/>
        <w:tblInd w:w="12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7766"/>
      </w:tblGrid>
      <w:tr>
        <w:trPr>
          <w:trHeight w:val="9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rPr>
                <w:rFonts w:hint="eastAsia" w:ascii="宋体" w:hAnsi="宋体"/>
                <w:sz w:val="24"/>
                <w:szCs w:val="24"/>
              </w:rPr>
              <w:t xml:space="preserve">/两年</w:t>
            </w:r>
            <w:r>
              <w:rPr>
                <w:rFonts w:ascii="宋体" w:hAnsi="宋体" w:cs="宋体"/>
                <w:color w:val="000000"/>
                <w:sz w:val="24"/>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6" w:type="dxa"/>
            <w:textDirection w:val="lrTb"/>
            <w:noWrap w:val="false"/>
          </w:tcPr>
          <w:p>
            <w:pPr>
              <w:jc w:val="center"/>
              <w:spacing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1000</w:t>
            </w:r>
            <w:r/>
          </w:p>
        </w:tc>
      </w:tr>
    </w:tbl>
    <w:p>
      <w:pPr>
        <w:ind w:firstLine="480"/>
        <w:rPr>
          <w:rFonts w:hint="eastAsia" w:ascii="宋体" w:hAnsi="宋体" w:cs="宋体"/>
          <w:color w:val="000000"/>
          <w:sz w:val="24"/>
        </w:rPr>
      </w:pPr>
      <w:r>
        <w:rPr>
          <w:rFonts w:hint="eastAsia" w:ascii="宋体" w:hAnsi="宋体" w:cs="宋体"/>
          <w:color w:val="000000"/>
          <w:sz w:val="24"/>
          <w:lang w:val="en-US" w:eastAsia="zh-CN"/>
        </w:rPr>
        <w:t xml:space="preserve">4.</w:t>
      </w:r>
      <w:r>
        <w:rPr>
          <w:rFonts w:ascii="宋体" w:hAnsi="宋体" w:cs="宋体"/>
          <w:color w:val="000000"/>
          <w:sz w:val="24"/>
        </w:rPr>
        <w:t xml:space="preserve">最高限价：</w:t>
      </w:r>
      <w:r>
        <w:rPr>
          <w:rFonts w:hint="eastAsia" w:ascii="宋体" w:hAnsi="宋体" w:cs="宋体"/>
          <w:color w:val="000000"/>
          <w:sz w:val="24"/>
        </w:rPr>
        <w:t xml:space="preserve">人民币</w:t>
      </w:r>
      <w:r>
        <w:rPr>
          <w:rFonts w:hint="eastAsia" w:ascii="宋体" w:hAnsi="宋体" w:cs="宋体"/>
          <w:color w:val="000000"/>
          <w:sz w:val="24"/>
          <w:lang w:val="en-US" w:eastAsia="zh-CN"/>
        </w:rPr>
        <w:t xml:space="preserve">1000万元</w:t>
      </w:r>
      <w:r>
        <w:rPr>
          <w:rFonts w:hint="eastAsia" w:ascii="宋体" w:hAnsi="宋体"/>
          <w:sz w:val="24"/>
          <w:szCs w:val="24"/>
        </w:rPr>
        <w:t xml:space="preserve">/两年</w:t>
      </w:r>
      <w:r>
        <w:rPr>
          <w:rFonts w:hint="eastAsia" w:ascii="宋体" w:hAnsi="宋体" w:cs="宋体"/>
          <w:color w:val="000000"/>
          <w:sz w:val="24"/>
        </w:rPr>
        <w:t xml:space="preserve">，95元/吨</w:t>
      </w:r>
      <w:r>
        <w:rPr>
          <w:rFonts w:hint="eastAsia" w:ascii="宋体" w:hAnsi="宋体" w:cs="宋体"/>
          <w:color w:val="000000"/>
          <w:sz w:val="24"/>
          <w:lang w:eastAsia="zh-CN"/>
        </w:rPr>
        <w:t xml:space="preserve">，</w:t>
      </w:r>
      <w:r>
        <w:rPr>
          <w:rFonts w:ascii="宋体" w:hAnsi="宋体" w:cs="宋体"/>
          <w:color w:val="000000"/>
          <w:sz w:val="24"/>
        </w:rPr>
        <w:t xml:space="preserve">投标人按照单价报价，按实结算</w:t>
      </w:r>
      <w:r>
        <w:rPr>
          <w:rFonts w:hint="eastAsia" w:ascii="宋体" w:hAnsi="宋体" w:cs="宋体"/>
          <w:color w:val="000000"/>
          <w:sz w:val="24"/>
        </w:rPr>
        <w:t xml:space="preserve">。</w:t>
      </w:r>
      <w:r/>
    </w:p>
    <w:tbl>
      <w:tblPr>
        <w:tblStyle w:val="771"/>
        <w:tblpPr w:horzAnchor="page" w:tblpX="1467" w:vertAnchor="text" w:tblpY="139" w:leftFromText="180" w:topFromText="0" w:rightFromText="180" w:bottomFromText="0"/>
        <w:tblW w:w="896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3397"/>
        <w:gridCol w:w="44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最高限价（人民币：元</w:t>
            </w:r>
            <w:r>
              <w:rPr>
                <w:rFonts w:hint="eastAsia" w:ascii="宋体" w:hAnsi="宋体"/>
                <w:sz w:val="24"/>
                <w:szCs w:val="24"/>
              </w:rPr>
              <w:t xml:space="preserve">/</w:t>
            </w:r>
            <w:r>
              <w:rPr>
                <w:rFonts w:hint="eastAsia" w:ascii="宋体" w:hAnsi="宋体"/>
                <w:sz w:val="24"/>
                <w:szCs w:val="24"/>
                <w:lang w:val="en-US" w:eastAsia="zh-CN"/>
              </w:rPr>
              <w:t xml:space="preserve">吨</w:t>
            </w: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5" w:type="dxa"/>
            <w:textDirection w:val="lrTb"/>
            <w:noWrap w:val="false"/>
          </w:tcPr>
          <w:p>
            <w:pPr>
              <w:jc w:val="center"/>
              <w:spacing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95</w:t>
            </w:r>
            <w:r/>
          </w:p>
        </w:tc>
      </w:tr>
    </w:tbl>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color w:val="000000"/>
          <w:sz w:val="24"/>
        </w:rPr>
        <w:t xml:space="preserve">采购需求（简介）：扬州市邗江区城市管理局2026-2028年邗江区拆除、装修垃圾收集处置服务</w:t>
      </w:r>
      <w:r>
        <w:rPr>
          <w:rFonts w:hint="eastAsia" w:ascii="宋体" w:hAnsi="宋体" w:cs="宋体"/>
          <w:color w:val="000000"/>
          <w:sz w:val="24"/>
        </w:rPr>
        <w:t xml:space="preserve">项目</w:t>
      </w:r>
      <w:r>
        <w:rPr>
          <w:rFonts w:ascii="宋体" w:hAnsi="宋体" w:cs="宋体"/>
          <w:color w:val="000000"/>
          <w:sz w:val="24"/>
        </w:rPr>
        <w:t xml:space="preserve">（详细内容见本招标文件第四章）</w:t>
      </w:r>
      <w:r>
        <w:rPr>
          <w:rFonts w:hint="eastAsia" w:ascii="宋体" w:hAnsi="宋体" w:cs="宋体"/>
          <w:color w:val="000000"/>
          <w:sz w:val="24"/>
        </w:rPr>
        <w:t xml:space="preserve">。</w:t>
      </w:r>
      <w:r/>
    </w:p>
    <w:p>
      <w:pPr>
        <w:ind w:firstLine="480"/>
        <w:spacing w:line="400" w:lineRule="atLeast"/>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rPr>
        <w:t xml:space="preserve">：自合同签订之日起服务期限为2年，合同一年一签，考核合格可续签第二年合同</w:t>
      </w:r>
      <w:r>
        <w:rPr>
          <w:rFonts w:hint="eastAsia" w:ascii="宋体" w:hAnsi="宋体" w:cs="宋体"/>
          <w:color w:val="000000"/>
          <w:sz w:val="24"/>
          <w:lang w:eastAsia="zh-CN"/>
        </w:rPr>
        <w:t xml:space="preserve">。</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w:t>
      </w:r>
      <w:r>
        <w:rPr>
          <w:rFonts w:hint="eastAsia" w:ascii="宋体" w:hAnsi="宋体" w:cs="宋体"/>
          <w:color w:val="000000"/>
          <w:sz w:val="24"/>
        </w:rPr>
        <w:t xml:space="preserve">2024或2025</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hint="eastAsia" w:ascii="宋体" w:hAnsi="宋体"/>
          <w:b/>
          <w:bCs/>
          <w:sz w:val="24"/>
          <w:szCs w:val="24"/>
        </w:rPr>
        <w:t xml:space="preserve">本项目专门面向中小企业采购。残疾人福利性单位、监狱和戒毒企业（简称监狱企业）视同小型、微型企业</w:t>
      </w:r>
      <w:r>
        <w:rPr>
          <w:rFonts w:hint="eastAsia" w:ascii="宋体" w:hAnsi="宋体" w:cs="宋体"/>
          <w:b/>
          <w:bCs/>
          <w:color w:val="000000"/>
          <w:sz w:val="24"/>
        </w:rPr>
        <w:t xml:space="preserve">。</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771"/>
        <w:tblW w:w="8925" w:type="dxa"/>
        <w:tblInd w:w="9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3496"/>
        <w:gridCol w:w="43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9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71"/>
        <w:tblW w:w="8940" w:type="dxa"/>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7924"/>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tbl>
      <w:tblPr>
        <w:tblStyle w:val="746"/>
        <w:tblpPr w:horzAnchor="page" w:tblpX="1495" w:vertAnchor="text" w:tblpY="598" w:leftFromText="180" w:topFromText="0" w:rightFromText="180" w:bottomFromText="0"/>
        <w:tblW w:w="88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7830"/>
      </w:tblGrid>
      <w:tr>
        <w:trPr/>
        <w:tc>
          <w:tcPr>
            <w:tcW w:w="106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7830" w:type="dxa"/>
            <w:textDirection w:val="lrTb"/>
            <w:noWrap w:val="false"/>
          </w:tcPr>
          <w:p>
            <w:pPr>
              <w:ind w:firstLine="480"/>
              <w:jc w:val="center"/>
              <w:spacing w:line="400" w:lineRule="exact"/>
              <w:rPr>
                <w:rFonts w:ascii="宋体" w:hAnsi="宋体"/>
                <w:sz w:val="24"/>
                <w:szCs w:val="24"/>
              </w:rPr>
            </w:pPr>
            <w:r>
              <w:rPr>
                <w:rFonts w:hint="eastAsia" w:ascii="宋体" w:hAnsi="宋体"/>
                <w:sz w:val="24"/>
                <w:szCs w:val="24"/>
              </w:rPr>
              <w:t xml:space="preserve">无</w:t>
            </w:r>
            <w:r/>
          </w:p>
        </w:tc>
      </w:tr>
    </w:tbl>
    <w:p>
      <w:pPr>
        <w:numPr>
          <w:ilvl w:val="0"/>
          <w:numId w:val="5"/>
        </w:num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本项目的特定资格要求</w:t>
      </w:r>
      <w:r/>
    </w:p>
    <w:p>
      <w:pPr>
        <w:pStyle w:val="738"/>
        <w:numPr>
          <w:ilvl w:val="0"/>
          <w:numId w:val="5"/>
        </w:numPr>
      </w:pPr>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480"/>
        <w:keepLines w:val="0"/>
        <w:keepNext w:val="0"/>
        <w:pageBreakBefore w:val="0"/>
        <w:spacing w:line="360" w:lineRule="exact"/>
        <w:widowControl w:val="off"/>
        <w:rPr>
          <w:rFonts w:ascii="宋体" w:hAnsi="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2.方式：在“江苏政府采购网、扬州市政府采购网</w:t>
      </w:r>
      <w:r>
        <w:rPr>
          <w:rFonts w:hint="eastAsia" w:ascii="宋体" w:hAnsi="宋体" w:cs="宋体"/>
          <w:color w:val="000000"/>
          <w:sz w:val="24"/>
        </w:rPr>
        <w:t xml:space="preserve">、</w:t>
      </w:r>
      <w:r>
        <w:rPr>
          <w:rFonts w:ascii="宋体" w:hAnsi="宋体" w:cs="宋体"/>
          <w:color w:val="000000"/>
          <w:sz w:val="24"/>
        </w:rPr>
        <w:t xml:space="preserve">扬州市</w:t>
      </w:r>
      <w:r>
        <w:rPr>
          <w:rFonts w:hint="eastAsia" w:ascii="宋体" w:hAnsi="宋体" w:cs="宋体"/>
          <w:color w:val="000000"/>
          <w:sz w:val="24"/>
        </w:rPr>
        <w:t xml:space="preserve">邗江区</w:t>
      </w:r>
      <w:r>
        <w:rPr>
          <w:rFonts w:ascii="宋体" w:hAnsi="宋体" w:cs="宋体"/>
          <w:color w:val="000000"/>
          <w:sz w:val="24"/>
        </w:rPr>
        <w:t xml:space="preserve">政府采购网”自行免费下载招标文件。</w:t>
      </w:r>
      <w:r/>
    </w:p>
    <w:p>
      <w:pPr>
        <w:ind w:firstLine="498"/>
        <w:keepLines w:val="0"/>
        <w:keepNext w:val="0"/>
        <w:pageBreakBefore w:val="0"/>
        <w:spacing w:before="145" w:after="145"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b/>
          <w:color w:val="000000"/>
          <w:sz w:val="32"/>
        </w:rPr>
        <w:t xml:space="preserve">四、提交投标文件截止时间、开标时间和地点</w:t>
      </w:r>
      <w:r/>
    </w:p>
    <w:p>
      <w:pPr>
        <w:ind w:firstLine="480"/>
        <w:keepLines w:val="0"/>
        <w:keepNext w:val="0"/>
        <w:pageBreakBefore w:val="0"/>
        <w:spacing w:line="360" w:lineRule="exact"/>
        <w:widowControl w:val="off"/>
        <w:rPr>
          <w:rFonts w:ascii="宋体" w:hAnsi="宋体" w:cs="宋体"/>
          <w:color w:val="000000"/>
          <w:sz w:val="24"/>
          <w:u w:val="single"/>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u w:val="single"/>
        </w:rPr>
        <w:t xml:space="preserve">1.202</w:t>
      </w:r>
      <w:r>
        <w:rPr>
          <w:rFonts w:hint="eastAsia" w:ascii="宋体" w:hAnsi="宋体" w:cs="宋体"/>
          <w:color w:val="000000"/>
          <w:sz w:val="24"/>
          <w:u w:val="single"/>
        </w:rPr>
        <w:t xml:space="preserve">6</w:t>
      </w:r>
      <w:r>
        <w:rPr>
          <w:rFonts w:ascii="宋体" w:hAnsi="宋体" w:cs="宋体"/>
          <w:color w:val="000000"/>
          <w:sz w:val="24"/>
          <w:u w:val="single"/>
        </w:rPr>
        <w:t xml:space="preserve">年</w:t>
      </w:r>
      <w:r>
        <w:rPr>
          <w:rFonts w:hint="eastAsia" w:ascii="宋体" w:hAnsi="宋体" w:cs="宋体"/>
          <w:color w:val="000000"/>
          <w:sz w:val="24"/>
          <w:u w:val="single"/>
          <w:lang w:val="en-US" w:eastAsia="zh-CN"/>
        </w:rPr>
        <w:t xml:space="preserve">6</w:t>
      </w:r>
      <w:r>
        <w:rPr>
          <w:rFonts w:ascii="宋体" w:hAnsi="宋体" w:cs="宋体"/>
          <w:color w:val="000000"/>
          <w:sz w:val="24"/>
          <w:u w:val="single"/>
        </w:rPr>
        <w:t xml:space="preserve">月</w:t>
      </w:r>
      <w:r>
        <w:rPr>
          <w:rFonts w:hint="eastAsia" w:ascii="宋体" w:hAnsi="宋体" w:cs="宋体"/>
          <w:color w:val="000000"/>
          <w:sz w:val="24"/>
          <w:u w:val="single"/>
          <w:lang w:val="en-US" w:eastAsia="zh-CN"/>
        </w:rPr>
        <w:t xml:space="preserve">2</w:t>
      </w:r>
      <w:r>
        <w:rPr>
          <w:rFonts w:ascii="宋体" w:hAnsi="宋体" w:cs="宋体"/>
          <w:color w:val="000000"/>
          <w:sz w:val="24"/>
          <w:u w:val="single"/>
        </w:rPr>
        <w:t xml:space="preserve">日</w:t>
      </w:r>
      <w:r>
        <w:rPr>
          <w:rFonts w:hint="eastAsia" w:ascii="宋体" w:hAnsi="宋体" w:cs="宋体"/>
          <w:color w:val="000000"/>
          <w:sz w:val="24"/>
          <w:u w:val="single"/>
        </w:rPr>
        <w:t xml:space="preserve">9</w:t>
      </w:r>
      <w:r>
        <w:rPr>
          <w:rFonts w:ascii="宋体" w:hAnsi="宋体" w:cs="宋体"/>
          <w:color w:val="000000"/>
          <w:sz w:val="24"/>
          <w:u w:val="single"/>
        </w:rPr>
        <w:t xml:space="preserve">点</w:t>
      </w:r>
      <w:r>
        <w:rPr>
          <w:rFonts w:hint="eastAsia" w:ascii="宋体" w:hAnsi="宋体" w:cs="宋体"/>
          <w:color w:val="000000"/>
          <w:sz w:val="24"/>
          <w:u w:val="single"/>
        </w:rPr>
        <w:t xml:space="preserve">30</w:t>
      </w:r>
      <w:r>
        <w:rPr>
          <w:rFonts w:ascii="宋体" w:hAnsi="宋体" w:cs="宋体"/>
          <w:color w:val="000000"/>
          <w:sz w:val="24"/>
          <w:u w:val="single"/>
        </w:rPr>
        <w:t xml:space="preserve">分（北京时间）</w:t>
      </w:r>
      <w:r/>
    </w:p>
    <w:p>
      <w:pPr>
        <w:ind w:firstLine="480"/>
        <w:keepLines w:val="0"/>
        <w:keepNext w:val="0"/>
        <w:pageBreakBefore w:val="0"/>
        <w:spacing w:line="360" w:lineRule="exact"/>
        <w:widowControl w:val="off"/>
        <w:rPr>
          <w:rFonts w:ascii="宋体" w:hAnsi="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2.地点：“苏采云”政府采购交易系统。</w:t>
      </w:r>
      <w:r/>
    </w:p>
    <w:p>
      <w:pPr>
        <w:ind w:firstLine="498"/>
        <w:keepLines w:val="0"/>
        <w:keepNext w:val="0"/>
        <w:pageBreakBefore w:val="0"/>
        <w:spacing w:before="145" w:after="145"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b/>
          <w:color w:val="000000"/>
          <w:sz w:val="32"/>
        </w:rPr>
        <w:t xml:space="preserve">五、公告期限</w:t>
      </w:r>
      <w:r/>
    </w:p>
    <w:p>
      <w:pPr>
        <w:ind w:firstLine="480"/>
        <w:keepLines w:val="0"/>
        <w:keepNext w:val="0"/>
        <w:pageBreakBefore w:val="0"/>
        <w:spacing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自本公告发布之日起5个工作日。</w:t>
      </w:r>
      <w:r/>
    </w:p>
    <w:p>
      <w:pPr>
        <w:ind w:firstLine="498"/>
        <w:keepLines w:val="0"/>
        <w:keepNext w:val="0"/>
        <w:pageBreakBefore w:val="0"/>
        <w:spacing w:before="145" w:after="145"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b/>
          <w:color w:val="000000"/>
          <w:sz w:val="32"/>
        </w:rPr>
        <w:t xml:space="preserve">六、其他补充事宜</w:t>
      </w:r>
      <w:r/>
    </w:p>
    <w:p>
      <w:pPr>
        <w:ind w:firstLine="480"/>
        <w:keepLines w:val="0"/>
        <w:keepNext w:val="0"/>
        <w:pageBreakBefore w:val="0"/>
        <w:spacing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无</w:t>
      </w:r>
      <w:r/>
    </w:p>
    <w:p>
      <w:pPr>
        <w:ind w:firstLine="498"/>
        <w:keepLines w:val="0"/>
        <w:keepNext w:val="0"/>
        <w:pageBreakBefore w:val="0"/>
        <w:spacing w:before="145" w:after="145"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b/>
          <w:color w:val="000000"/>
          <w:sz w:val="32"/>
        </w:rPr>
        <w:t xml:space="preserve">七、本次招标联系方式</w:t>
      </w:r>
      <w:r/>
    </w:p>
    <w:p>
      <w:pPr>
        <w:ind w:firstLine="482"/>
        <w:keepLines w:val="0"/>
        <w:keepNext w:val="0"/>
        <w:pageBreakBefore w:val="0"/>
        <w:spacing w:line="360" w:lineRule="exact"/>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rPr>
        <w:t xml:space="preserve">1.采购人信息</w:t>
      </w:r>
      <w:r/>
    </w:p>
    <w:p>
      <w:pPr>
        <w:ind w:firstLine="482"/>
        <w:keepLines w:val="0"/>
        <w:keepNext w:val="0"/>
        <w:pageBreakBefore w:val="0"/>
        <w:spacing w:line="360" w:lineRule="exact"/>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outlineLvl w:val="9"/>
      </w:pPr>
      <w:r/>
      <w:bookmarkStart w:id="1" w:name="_Toc28359009"/>
      <w:r/>
      <w:bookmarkStart w:id="2" w:name="_Toc28359086"/>
      <w:r>
        <w:rPr>
          <w:rFonts w:hint="eastAsia" w:ascii="宋体" w:hAnsi="宋体" w:cs="宋体"/>
          <w:color w:val="000000"/>
          <w:sz w:val="24"/>
        </w:rPr>
        <w:t xml:space="preserve">名 称：</w:t>
      </w:r>
      <w:r>
        <w:rPr>
          <w:rFonts w:hint="eastAsia" w:ascii="宋体" w:hAnsi="宋体" w:cs="宋体"/>
          <w:color w:val="000000"/>
          <w:sz w:val="24"/>
          <w:lang w:eastAsia="zh-CN"/>
        </w:rPr>
        <w:t xml:space="preserve">扬州市邗江区城市管理局</w:t>
      </w:r>
      <w:r/>
    </w:p>
    <w:p>
      <w:pPr>
        <w:ind w:firstLine="482"/>
        <w:keepLines w:val="0"/>
        <w:keepNext w:val="0"/>
        <w:pageBreakBefore w:val="0"/>
        <w:spacing w:line="360" w:lineRule="exact"/>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rPr>
        <w:t xml:space="preserve">地址：江苏省扬州市邗江区文昌中路660号　</w:t>
      </w:r>
      <w:r/>
    </w:p>
    <w:p>
      <w:pPr>
        <w:ind w:firstLine="482"/>
        <w:keepLines w:val="0"/>
        <w:keepNext w:val="0"/>
        <w:pageBreakBefore w:val="0"/>
        <w:spacing w:line="360" w:lineRule="exact"/>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rPr>
        <w:t xml:space="preserve">联系人：温主任 </w:t>
      </w:r>
      <w:r/>
    </w:p>
    <w:p>
      <w:pPr>
        <w:ind w:firstLine="482"/>
        <w:keepLines w:val="0"/>
        <w:keepNext w:val="0"/>
        <w:pageBreakBefore w:val="0"/>
        <w:spacing w:line="360" w:lineRule="exact"/>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rPr>
        <w:t xml:space="preserve">联系方式：0514-87953776　</w:t>
      </w:r>
      <w:bookmarkEnd w:id="1"/>
      <w:r/>
      <w:bookmarkEnd w:id="2"/>
      <w:r/>
      <w:r/>
    </w:p>
    <w:p>
      <w:pPr>
        <w:ind w:firstLine="482"/>
        <w:keepLines w:val="0"/>
        <w:keepNext w:val="0"/>
        <w:pageBreakBefore w:val="0"/>
        <w:spacing w:line="360" w:lineRule="exact"/>
        <w:widowControl w:val="off"/>
        <w:rPr>
          <w:rFonts w:ascii="宋体" w:hAnsi="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rPr>
        <w:t xml:space="preserve">2.扬州市公共资源交易中心邗江分中心信息</w:t>
      </w:r>
      <w:r/>
    </w:p>
    <w:p>
      <w:pPr>
        <w:ind w:firstLine="482"/>
        <w:keepLines w:val="0"/>
        <w:keepNext w:val="0"/>
        <w:pageBreakBefore w:val="0"/>
        <w:spacing w:line="360" w:lineRule="exact"/>
        <w:widowControl w:val="off"/>
        <w:rPr>
          <w:rFonts w:ascii="宋体" w:hAnsi="宋体" w:cs="宋体"/>
          <w:color w:val="000000"/>
          <w:sz w:val="24"/>
        </w:rPr>
        <w:pBdr>
          <w:top w:val="none" w:color="000000" w:sz="0" w:space="0"/>
          <w:left w:val="none" w:color="000000" w:sz="0" w:space="0"/>
          <w:bottom w:val="none" w:color="000000" w:sz="0" w:space="0"/>
          <w:right w:val="none" w:color="000000" w:sz="0" w:space="0"/>
        </w:pBdr>
        <w:outlineLvl w:val="9"/>
      </w:pPr>
      <w:r/>
      <w:bookmarkStart w:id="3" w:name="_Toc28359087"/>
      <w:r/>
      <w:bookmarkStart w:id="4" w:name="_Toc28359010"/>
      <w:r>
        <w:rPr>
          <w:rFonts w:hint="eastAsia" w:ascii="宋体" w:hAnsi="宋体" w:cs="宋体"/>
          <w:color w:val="000000"/>
          <w:sz w:val="24"/>
        </w:rPr>
        <w:t xml:space="preserve">地　址：扬州市邗江区国展路28号恒通AI科创大厦三楼　</w:t>
      </w:r>
      <w:r/>
    </w:p>
    <w:p>
      <w:pPr>
        <w:ind w:firstLine="482"/>
        <w:keepLines w:val="0"/>
        <w:keepNext w:val="0"/>
        <w:pageBreakBefore w:val="0"/>
        <w:spacing w:line="360" w:lineRule="exact"/>
        <w:widowControl w:val="off"/>
        <w:rPr>
          <w:rFonts w:ascii="宋体" w:hAnsi="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rPr>
        <w:t xml:space="preserve">联系人：姚红俊 </w:t>
      </w:r>
      <w:r/>
    </w:p>
    <w:p>
      <w:pPr>
        <w:ind w:firstLine="482"/>
        <w:keepLines w:val="0"/>
        <w:keepNext w:val="0"/>
        <w:pageBreakBefore w:val="0"/>
        <w:spacing w:line="36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rPr>
        <w:t xml:space="preserve">联系方式：0514-82882275　</w:t>
      </w:r>
      <w:bookmarkEnd w:id="3"/>
      <w:r/>
      <w:bookmarkEnd w:id="4"/>
      <w:r/>
      <w:r/>
    </w:p>
    <w:p>
      <w:pPr>
        <w:ind w:firstLine="498"/>
        <w:keepLines w:val="0"/>
        <w:keepNext w:val="0"/>
        <w:pageBreakBefore w:val="0"/>
        <w:spacing w:before="145" w:after="145"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b/>
          <w:color w:val="000000"/>
          <w:sz w:val="32"/>
        </w:rPr>
        <w:t xml:space="preserve">八、其他</w:t>
      </w:r>
      <w:r/>
    </w:p>
    <w:p>
      <w:pPr>
        <w:ind w:firstLine="482"/>
        <w:keepLines w:val="0"/>
        <w:keepNext w:val="0"/>
        <w:pageBreakBefore w:val="0"/>
        <w:spacing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2"/>
        <w:keepLines w:val="0"/>
        <w:keepNext w:val="0"/>
        <w:pageBreakBefore w:val="0"/>
        <w:spacing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领取CA和办理电子签章（请至扬州市文昌东路9号广陵新城市民中心1号楼5楼办理，具体联系方式：18952716110）。</w:t>
      </w:r>
      <w:r/>
    </w:p>
    <w:p>
      <w:pPr>
        <w:ind w:firstLine="482"/>
        <w:keepLines w:val="0"/>
        <w:keepNext w:val="0"/>
        <w:pageBreakBefore w:val="0"/>
        <w:spacing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2.有关本次招标的事项若存在变动或修改，敬请及时关注扬州市公共资源交易中心在“江苏政府采购网”、“扬州市政府采购网”“扬州市</w:t>
      </w:r>
      <w:r>
        <w:rPr>
          <w:rFonts w:hint="eastAsia" w:ascii="宋体" w:hAnsi="宋体" w:cs="宋体"/>
          <w:color w:val="000000"/>
          <w:sz w:val="24"/>
        </w:rPr>
        <w:t xml:space="preserve">邗江区</w:t>
      </w:r>
      <w:r>
        <w:rPr>
          <w:rFonts w:ascii="宋体" w:hAnsi="宋体" w:cs="宋体"/>
          <w:color w:val="000000"/>
          <w:sz w:val="24"/>
        </w:rPr>
        <w:t xml:space="preserve">政府采购网”发布的更正公告。</w:t>
      </w:r>
      <w:r/>
    </w:p>
    <w:p>
      <w:pPr>
        <w:ind w:firstLine="482"/>
        <w:keepLines w:val="0"/>
        <w:keepNext w:val="0"/>
        <w:pageBreakBefore w:val="0"/>
        <w:spacing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3.本次招标不收取投标保证金。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736"/>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w:t>
      </w:r>
      <w:r>
        <w:rPr>
          <w:rFonts w:hint="eastAsia" w:ascii="宋体" w:hAnsi="宋体" w:cs="宋体"/>
          <w:color w:val="000000"/>
          <w:sz w:val="24"/>
        </w:rPr>
        <w:t xml:space="preserve">邗江分中心</w:t>
      </w:r>
      <w:r>
        <w:rPr>
          <w:rFonts w:ascii="宋体" w:hAnsi="宋体" w:cs="宋体"/>
          <w:color w:val="000000"/>
          <w:sz w:val="24"/>
        </w:rPr>
        <w:t xml:space="preserve">（以下简称交易中心）在任何情况下均无义务和责任承担这些费用。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7.3招标文件的修改将在江苏政府采购网、扬州市政府采购网</w:t>
      </w:r>
      <w:r>
        <w:rPr>
          <w:rFonts w:hint="eastAsia" w:ascii="宋体" w:hAnsi="宋体" w:cs="宋体"/>
          <w:color w:val="000000"/>
          <w:sz w:val="24"/>
          <w:lang w:eastAsia="zh-CN"/>
        </w:rPr>
        <w:t xml:space="preserve">、</w:t>
      </w:r>
      <w:r>
        <w:rPr>
          <w:rFonts w:ascii="宋体" w:hAnsi="宋体" w:cs="宋体"/>
          <w:color w:val="000000"/>
          <w:sz w:val="24"/>
        </w:rPr>
        <w:t xml:space="preserve">扬州市</w:t>
      </w:r>
      <w:r>
        <w:rPr>
          <w:rFonts w:hint="eastAsia" w:ascii="宋体" w:hAnsi="宋体" w:cs="宋体"/>
          <w:color w:val="000000"/>
          <w:sz w:val="24"/>
          <w:lang w:val="en-US" w:eastAsia="zh-CN"/>
        </w:rPr>
        <w:t xml:space="preserve">邗江区</w:t>
      </w:r>
      <w:r>
        <w:rPr>
          <w:rFonts w:ascii="宋体" w:hAnsi="宋体" w:cs="宋体"/>
          <w:color w:val="000000"/>
          <w:sz w:val="24"/>
        </w:rPr>
        <w:t xml:space="preserve">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w:t>
      </w:r>
      <w:r>
        <w:rPr>
          <w:rFonts w:hint="eastAsia" w:ascii="宋体" w:hAnsi="宋体" w:cs="宋体"/>
          <w:color w:val="ff0000"/>
          <w:sz w:val="24"/>
        </w:rPr>
        <w:t xml:space="preserve">、</w:t>
      </w:r>
      <w:r>
        <w:rPr>
          <w:rFonts w:ascii="宋体" w:hAnsi="宋体" w:cs="宋体"/>
          <w:color w:val="ff0000"/>
          <w:sz w:val="24"/>
        </w:rPr>
        <w:t xml:space="preserve">扬州市</w:t>
      </w:r>
      <w:r>
        <w:rPr>
          <w:rFonts w:hint="eastAsia" w:ascii="宋体" w:hAnsi="宋体" w:cs="宋体"/>
          <w:color w:val="ff0000"/>
          <w:sz w:val="24"/>
        </w:rPr>
        <w:t xml:space="preserve">邗江区</w:t>
      </w:r>
      <w:r>
        <w:rPr>
          <w:rFonts w:ascii="宋体" w:hAnsi="宋体" w:cs="宋体"/>
          <w:color w:val="ff0000"/>
          <w:sz w:val="24"/>
        </w:rPr>
        <w:t xml:space="preserve">政府采购网”发布的招标文件不一致，请以“江苏政府采购网、扬州市政府采购网</w:t>
      </w:r>
      <w:r>
        <w:rPr>
          <w:rFonts w:hint="eastAsia" w:ascii="宋体" w:hAnsi="宋体" w:cs="宋体"/>
          <w:color w:val="ff0000"/>
          <w:sz w:val="24"/>
        </w:rPr>
        <w:t xml:space="preserve">、</w:t>
      </w:r>
      <w:r>
        <w:rPr>
          <w:rFonts w:ascii="宋体" w:hAnsi="宋体" w:cs="宋体"/>
          <w:color w:val="ff0000"/>
          <w:sz w:val="24"/>
        </w:rPr>
        <w:t xml:space="preserve">扬州市</w:t>
      </w:r>
      <w:r>
        <w:rPr>
          <w:rFonts w:hint="eastAsia" w:ascii="宋体" w:hAnsi="宋体" w:cs="宋体"/>
          <w:color w:val="ff0000"/>
          <w:sz w:val="24"/>
        </w:rPr>
        <w:t xml:space="preserve">邗江区</w:t>
      </w:r>
      <w:r>
        <w:rPr>
          <w:rFonts w:ascii="宋体" w:hAnsi="宋体" w:cs="宋体"/>
          <w:color w:val="ff0000"/>
          <w:sz w:val="24"/>
        </w:rPr>
        <w:t xml:space="preserve">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rPr>
          <w:rFonts w:ascii="黑体" w:hAnsi="黑体" w:eastAsia="黑体" w:cs="黑体"/>
          <w:color w:val="000000"/>
          <w:sz w:val="28"/>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21.1开标后，交易中心将立即组织评标委员会（以下简称评委会）进行评标。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21.2评委会由采购人代表和有关技术、经济等方面的专家组成，且人员构成符合政府采购有关规定。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21.3评委会独立工作，负责评审所有投标文件并确定中标侯选人。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23.1评标期间，评委会对投标文件中含义不明确、同类问题表述不一致或者有明显文字和计算错误的内容</w:t>
      </w:r>
      <w:r>
        <w:rPr>
          <w:rFonts w:hint="eastAsia" w:ascii="宋体" w:hAnsi="宋体" w:cs="宋体"/>
          <w:color w:val="000000"/>
          <w:sz w:val="24"/>
        </w:rPr>
        <w:t xml:space="preserve">，</w:t>
      </w:r>
      <w:r>
        <w:rPr>
          <w:rFonts w:ascii="宋体" w:hAnsi="宋体" w:cs="宋体"/>
          <w:color w:val="000000"/>
          <w:sz w:val="24"/>
        </w:rPr>
        <w:t xml:space="preserve">有权要求投标人作出必要的澄清、说明或者补正。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评委会并非对每个投标人都做澄清要求。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25.1.7不符合招标文件中规定的实质性要求的</w:t>
      </w:r>
      <w:r>
        <w:rPr>
          <w:rFonts w:ascii="宋体" w:hAnsi="宋体" w:cs="宋体"/>
          <w:b/>
          <w:color w:val="000000"/>
          <w:sz w:val="24"/>
        </w:rPr>
        <w:t xml:space="preserve">（本招标文件中</w:t>
      </w:r>
      <w:r>
        <w:rPr>
          <w:rFonts w:ascii="宋体" w:hAnsi="宋体" w:cs="宋体"/>
          <w:b/>
          <w:i/>
          <w:color w:val="000000"/>
          <w:sz w:val="24"/>
          <w:u w:val="single"/>
        </w:rPr>
        <w:t xml:space="preserve">斜体且有下划线部分</w:t>
      </w:r>
      <w:r>
        <w:rPr>
          <w:rFonts w:ascii="宋体" w:hAnsi="宋体" w:cs="宋体"/>
          <w:b/>
          <w:color w:val="000000"/>
          <w:sz w:val="24"/>
        </w:rPr>
        <w:t xml:space="preserve">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投标人被“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25.1.9投标文件含有采购人不能接受的附加条件的。</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w:t>
      </w:r>
      <w:r>
        <w:rPr>
          <w:rFonts w:ascii="宋体" w:hAnsi="宋体"/>
          <w:bCs/>
          <w:color w:val="ff0000"/>
          <w:sz w:val="24"/>
          <w:szCs w:val="24"/>
        </w:rPr>
        <w:t xml:space="preserve">5</w:t>
      </w:r>
      <w:r>
        <w:rPr>
          <w:rFonts w:hint="eastAsia" w:ascii="宋体" w:hAnsi="宋体"/>
          <w:bCs/>
          <w:color w:val="ff0000"/>
          <w:sz w:val="24"/>
          <w:szCs w:val="24"/>
        </w:rPr>
        <w:t xml:space="preserve">.1.10 异常低价投标（响应）</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w:t>
      </w:r>
      <w:r>
        <w:rPr>
          <w:rFonts w:ascii="宋体" w:hAnsi="宋体"/>
          <w:bCs/>
          <w:color w:val="ff0000"/>
          <w:sz w:val="24"/>
          <w:szCs w:val="24"/>
        </w:rPr>
        <w:t xml:space="preserve">5</w:t>
      </w:r>
      <w:r>
        <w:rPr>
          <w:rFonts w:hint="eastAsia" w:ascii="宋体" w:hAnsi="宋体"/>
          <w:bCs/>
          <w:color w:val="ff0000"/>
          <w:sz w:val="24"/>
          <w:szCs w:val="24"/>
        </w:rPr>
        <w:t xml:space="preserve">.1.10.1投标（响应）报价低于全部通过符合性审查供应商投标（响应）报价平均值50%的，即投标（响应）报价&lt;全部通过符合性审查供应商投标（响应）报价平均值×50%；</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w:t>
      </w:r>
      <w:r>
        <w:rPr>
          <w:rFonts w:ascii="宋体" w:hAnsi="宋体"/>
          <w:bCs/>
          <w:color w:val="ff0000"/>
          <w:sz w:val="24"/>
          <w:szCs w:val="24"/>
        </w:rPr>
        <w:t xml:space="preserve">5</w:t>
      </w:r>
      <w:r>
        <w:rPr>
          <w:rFonts w:hint="eastAsia" w:ascii="宋体" w:hAnsi="宋体"/>
          <w:bCs/>
          <w:color w:val="ff0000"/>
          <w:sz w:val="24"/>
          <w:szCs w:val="24"/>
        </w:rPr>
        <w:t xml:space="preserve">.1.10.2投标（响应）报价低于通过符合性审查的次低报价供应商投标（响应）报价50%的，即投标（响应）报价&lt;通过符合性审查的次低报价供应商投标（响应）报价×50%；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w:t>
      </w:r>
      <w:r>
        <w:rPr>
          <w:rFonts w:ascii="宋体" w:hAnsi="宋体"/>
          <w:bCs/>
          <w:color w:val="ff0000"/>
          <w:sz w:val="24"/>
          <w:szCs w:val="24"/>
        </w:rPr>
        <w:t xml:space="preserve">5</w:t>
      </w:r>
      <w:r>
        <w:rPr>
          <w:rFonts w:hint="eastAsia" w:ascii="宋体" w:hAnsi="宋体"/>
          <w:bCs/>
          <w:color w:val="ff0000"/>
          <w:sz w:val="24"/>
          <w:szCs w:val="24"/>
        </w:rPr>
        <w:t xml:space="preserve">.1.10.3投标（响应）报价低于采购项目最高限价45%的，即投标（响应）报价&lt;采购项目最高限价×45% ；</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w:t>
      </w:r>
      <w:r>
        <w:rPr>
          <w:rFonts w:ascii="宋体" w:hAnsi="宋体"/>
          <w:bCs/>
          <w:color w:val="ff0000"/>
          <w:sz w:val="24"/>
          <w:szCs w:val="24"/>
        </w:rPr>
        <w:t xml:space="preserve">5</w:t>
      </w:r>
      <w:r>
        <w:rPr>
          <w:rFonts w:hint="eastAsia" w:ascii="宋体" w:hAnsi="宋体"/>
          <w:bCs/>
          <w:color w:val="ff0000"/>
          <w:sz w:val="24"/>
          <w:szCs w:val="24"/>
        </w:rPr>
        <w:t xml:space="preserve">.1.10.4评审委员会认定的供应商报价过低、有可能影响产品质量或者不能诚信履约的其他情形。</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w:t>
      </w:r>
      <w:r>
        <w:rPr>
          <w:rFonts w:ascii="宋体" w:hAnsi="宋体"/>
          <w:bCs/>
          <w:color w:val="ff0000"/>
          <w:sz w:val="24"/>
          <w:szCs w:val="24"/>
        </w:rPr>
        <w:t xml:space="preserve">5</w:t>
      </w:r>
      <w:r>
        <w:rPr>
          <w:rFonts w:hint="eastAsia" w:ascii="宋体" w:hAnsi="宋体"/>
          <w:bCs/>
          <w:color w:val="ff0000"/>
          <w:sz w:val="24"/>
          <w:szCs w:val="24"/>
        </w:rPr>
        <w:t xml:space="preserve">.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w:t>
      </w:r>
      <w:r>
        <w:rPr>
          <w:rFonts w:hint="eastAsia" w:ascii="黑体" w:hAnsi="黑体" w:eastAsia="黑体" w:cs="黑体"/>
          <w:color w:val="000000"/>
          <w:sz w:val="30"/>
        </w:rPr>
        <w:t xml:space="preserve">  </w:t>
      </w:r>
      <w:r>
        <w:rPr>
          <w:rFonts w:ascii="黑体" w:hAnsi="黑体" w:eastAsia="黑体" w:cs="黑体"/>
          <w:color w:val="000000"/>
          <w:sz w:val="30"/>
        </w:rPr>
        <w:t xml:space="preserve">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26.3交易中心将在“江苏政府采购网、扬州市政府采购网、扬州市邗江区政府采购网”发布中标公告，公告期限为1个工作日。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26.5.1不同投标人的投标文件由同一单位或者个人编制。</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numPr>
          <w:ilvl w:val="0"/>
          <w:numId w:val="6"/>
        </w:numPr>
        <w:ind w:firstLine="600"/>
        <w:spacing w:line="400" w:lineRule="atLeast"/>
        <w:rPr>
          <w:rFonts w:ascii="黑体" w:hAnsi="黑体" w:eastAsia="黑体" w:cs="黑体"/>
          <w:color w:val="000000"/>
          <w:sz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政府采购履约资金扶持政策</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pStyle w:val="736"/>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w:t>
      </w:r>
      <w:r>
        <w:rPr>
          <w:rFonts w:hint="eastAsia" w:ascii="黑体" w:hAnsi="黑体" w:eastAsia="黑体" w:cs="黑体"/>
          <w:b/>
          <w:color w:val="000000"/>
          <w:sz w:val="44"/>
          <w:lang w:val="en-US" w:eastAsia="zh-CN"/>
        </w:rPr>
        <w:t xml:space="preserve"> </w:t>
      </w:r>
      <w:r>
        <w:rPr>
          <w:rFonts w:ascii="黑体" w:hAnsi="黑体" w:eastAsia="黑体" w:cs="黑体"/>
          <w:b/>
          <w:color w:val="000000"/>
          <w:sz w:val="44"/>
        </w:rPr>
        <w:t xml:space="preserve">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项目名称：_________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项目编号：_________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hint="eastAsia" w:ascii="宋体" w:hAnsi="宋体" w:cs="宋体"/>
          <w:color w:val="000000"/>
          <w:sz w:val="24"/>
          <w:lang w:val="en-US" w:eastAsia="zh-CN"/>
        </w:rPr>
        <w:t xml:space="preserve">邗江分中心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2.1本合同金额为（大写）：________圆</w:t>
      </w:r>
      <w:r>
        <w:rPr>
          <w:rFonts w:hint="eastAsia" w:ascii="宋体" w:hAnsi="宋体" w:eastAsia="宋体" w:cs="宋体"/>
          <w:sz w:val="24"/>
          <w:szCs w:val="24"/>
          <w:highlight w:val="none"/>
        </w:rPr>
        <w:t xml:space="preserve">/吨</w:t>
      </w:r>
      <w:r>
        <w:rPr>
          <w:rFonts w:ascii="宋体" w:hAnsi="宋体" w:cs="宋体"/>
          <w:color w:val="000000"/>
          <w:sz w:val="24"/>
        </w:rPr>
        <w:t xml:space="preserve">（________</w:t>
      </w:r>
      <w:r>
        <w:rPr>
          <w:rFonts w:hint="eastAsia" w:ascii="宋体" w:hAnsi="宋体" w:eastAsia="宋体" w:cs="宋体"/>
          <w:sz w:val="24"/>
          <w:szCs w:val="24"/>
          <w:highlight w:val="none"/>
        </w:rPr>
        <w:t xml:space="preserve">元/吨</w:t>
      </w:r>
      <w:r>
        <w:rPr>
          <w:rFonts w:ascii="宋体" w:hAnsi="宋体" w:cs="宋体"/>
          <w:color w:val="000000"/>
          <w:sz w:val="24"/>
        </w:rPr>
        <w:t xml:space="preserve">）人民币或其他币种。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6.1乙方交纳人民币___</w:t>
      </w:r>
      <w:r>
        <w:rPr>
          <w:rFonts w:ascii="宋体" w:hAnsi="宋体" w:cs="宋体"/>
          <w:color w:val="0000ff"/>
          <w:sz w:val="24"/>
          <w:u w:val="single"/>
        </w:rPr>
        <w:t xml:space="preserve">零</w:t>
      </w:r>
      <w:r>
        <w:rPr>
          <w:rFonts w:ascii="宋体" w:hAnsi="宋体" w:cs="宋体"/>
          <w:color w:val="000000"/>
          <w:sz w:val="24"/>
        </w:rPr>
        <w:t xml:space="preserve">______元作为本合同的履约保证金。（不得超过合同金额的10%）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8.1.1</w:t>
      </w:r>
      <w:r>
        <w:rPr>
          <w:rFonts w:ascii="宋体" w:hAnsi="宋体" w:cs="宋体"/>
          <w:color w:val="000000"/>
          <w:sz w:val="24"/>
        </w:rPr>
        <w:t xml:space="preserve">预付款支付时间：中标价即合同价（每年），合同签订后甲方自收到乙方的发票10个工作日内付至合同价的30%作为预付款。</w:t>
      </w:r>
      <w:r/>
    </w:p>
    <w:p>
      <w:pPr>
        <w:spacing w:before="145" w:after="145"/>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8.1.</w:t>
      </w:r>
      <w:r>
        <w:rPr>
          <w:rFonts w:hint="eastAsia" w:ascii="宋体" w:hAnsi="宋体" w:cs="宋体"/>
          <w:color w:val="000000"/>
          <w:sz w:val="24"/>
          <w:lang w:val="en-US" w:eastAsia="zh-CN"/>
        </w:rPr>
        <w:t xml:space="preserve">2</w:t>
      </w:r>
      <w:r>
        <w:rPr>
          <w:rFonts w:ascii="宋体" w:hAnsi="宋体" w:cs="宋体"/>
          <w:color w:val="000000"/>
          <w:sz w:val="24"/>
        </w:rPr>
        <w:t xml:space="preserve">尾款支付时间：</w:t>
      </w:r>
      <w:r>
        <w:rPr>
          <w:rFonts w:hint="eastAsia" w:ascii="宋体" w:hAnsi="宋体" w:cs="宋体"/>
          <w:color w:val="000000"/>
          <w:sz w:val="24"/>
        </w:rPr>
        <w:t xml:space="preserve">甲乙双方在合同期内根据实际处置量和考核结果按季度结算服务费用（进度款支付时扣除已支付预付款，扣完为止），乙方向甲方开具发票，甲方自收到发票之日起</w:t>
      </w:r>
      <w:r>
        <w:rPr>
          <w:rFonts w:ascii="宋体" w:hAnsi="宋体" w:cs="宋体"/>
          <w:color w:val="000000"/>
          <w:sz w:val="24"/>
        </w:rPr>
        <w:t xml:space="preserve">10</w:t>
      </w:r>
      <w:r>
        <w:rPr>
          <w:rFonts w:hint="eastAsia" w:ascii="宋体" w:hAnsi="宋体" w:cs="宋体"/>
          <w:color w:val="000000"/>
          <w:sz w:val="24"/>
        </w:rPr>
        <w:t xml:space="preserve">个工作日内支付</w:t>
      </w:r>
      <w:r>
        <w:rPr>
          <w:rFonts w:ascii="宋体" w:hAnsi="宋体" w:cs="宋体"/>
          <w:color w:val="000000"/>
          <w:sz w:val="24"/>
        </w:rPr>
        <w:t xml:space="preserve">。</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甲方：</w:t>
      </w:r>
      <w:r>
        <w:rPr>
          <w:rFonts w:hint="eastAsia" w:ascii="宋体" w:hAnsi="宋体" w:cs="宋体"/>
          <w:color w:val="000000"/>
          <w:sz w:val="24"/>
        </w:rPr>
        <w:t xml:space="preserve">                             </w:t>
      </w:r>
      <w:r>
        <w:rPr>
          <w:rFonts w:ascii="宋体" w:hAnsi="宋体" w:cs="宋体"/>
          <w:color w:val="000000"/>
          <w:sz w:val="24"/>
        </w:rPr>
        <w:t xml:space="preserve">乙方：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地址： </w:t>
      </w:r>
      <w:r>
        <w:rPr>
          <w:rFonts w:hint="eastAsia" w:ascii="宋体" w:hAnsi="宋体" w:cs="宋体"/>
          <w:color w:val="000000"/>
          <w:sz w:val="24"/>
        </w:rPr>
        <w:t xml:space="preserve">                            </w:t>
      </w:r>
      <w:r>
        <w:rPr>
          <w:rFonts w:ascii="宋体" w:hAnsi="宋体" w:cs="宋体"/>
          <w:color w:val="000000"/>
          <w:sz w:val="24"/>
        </w:rPr>
        <w:t xml:space="preserve">地址：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法定代表人或授权代表：</w:t>
      </w:r>
      <w:r>
        <w:rPr>
          <w:rFonts w:hint="eastAsia" w:ascii="宋体" w:hAnsi="宋体" w:cs="宋体"/>
          <w:color w:val="000000"/>
          <w:sz w:val="24"/>
        </w:rPr>
        <w:t xml:space="preserve">             </w:t>
      </w:r>
      <w:r>
        <w:rPr>
          <w:rFonts w:ascii="宋体" w:hAnsi="宋体" w:cs="宋体"/>
          <w:color w:val="000000"/>
          <w:sz w:val="24"/>
        </w:rPr>
        <w:t xml:space="preserve">法定代表人或授权代表：</w:t>
      </w:r>
      <w:r/>
    </w:p>
    <w:p>
      <w:pPr>
        <w:ind w:firstLine="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联系电话：</w:t>
      </w:r>
      <w:r>
        <w:rPr>
          <w:rFonts w:hint="eastAsia" w:ascii="宋体" w:hAnsi="宋体" w:cs="宋体"/>
          <w:color w:val="000000"/>
          <w:sz w:val="24"/>
        </w:rPr>
        <w:t xml:space="preserve">                         </w:t>
      </w:r>
      <w:r>
        <w:rPr>
          <w:rFonts w:ascii="宋体" w:hAnsi="宋体" w:cs="宋体"/>
          <w:color w:val="000000"/>
          <w:sz w:val="24"/>
        </w:rPr>
        <w:t xml:space="preserve">联系电话：</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sz w:val="24"/>
        </w:rPr>
        <w:t xml:space="preserve">签订日期：年  月 日</w:t>
      </w:r>
      <w:r>
        <w:rPr>
          <w:rFonts w:ascii="宋体" w:hAnsi="宋体" w:cs="宋体"/>
          <w:color w:val="000000"/>
          <w:sz w:val="24"/>
        </w:rPr>
        <w:br w:type="page" w:clear="all"/>
      </w:r>
      <w:r/>
    </w:p>
    <w:p>
      <w:pPr>
        <w:pStyle w:val="736"/>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w:t>
      </w:r>
      <w:r>
        <w:rPr>
          <w:rFonts w:hint="eastAsia" w:ascii="黑体" w:hAnsi="黑体" w:eastAsia="黑体" w:cs="黑体"/>
          <w:b/>
          <w:color w:val="000000"/>
          <w:sz w:val="44"/>
          <w:lang w:val="en-US" w:eastAsia="zh-CN"/>
        </w:rPr>
        <w:t xml:space="preserve"> </w:t>
      </w:r>
      <w:r>
        <w:rPr>
          <w:rFonts w:ascii="黑体" w:hAnsi="黑体" w:eastAsia="黑体" w:cs="黑体"/>
          <w:b/>
          <w:color w:val="000000"/>
          <w:sz w:val="44"/>
        </w:rPr>
        <w:t xml:space="preserve">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 </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2. </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采购标的清单</w:t>
      </w:r>
      <w:r/>
    </w:p>
    <w:tbl>
      <w:tblPr>
        <w:tblStyle w:val="771"/>
        <w:tblW w:w="912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4419"/>
        <w:gridCol w:w="36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1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9" w:type="dxa"/>
            <w:vAlign w:val="center"/>
            <w:textDirection w:val="lrTb"/>
            <w:noWrap w:val="false"/>
          </w:tcPr>
          <w:p>
            <w:pPr>
              <w:spacing w:line="400" w:lineRule="atLeast"/>
              <w:rPr>
                <w:bCs/>
                <w:iCs/>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扬州市邗江区城市管理局2026-2028年邗江区拆除、装修垃圾收集处置服务</w:t>
            </w:r>
            <w:r>
              <w:rPr>
                <w:rFonts w:hint="eastAsia" w:ascii="宋体" w:hAnsi="宋体" w:cs="宋体"/>
                <w:color w:val="000000"/>
                <w:sz w:val="24"/>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bl>
    <w:p>
      <w:pPr>
        <w:rPr>
          <w:rFonts w:hint="default" w:ascii="宋体" w:hAnsi="宋体" w:eastAsia="宋体" w:cs="宋体"/>
          <w:b/>
          <w:color w:val="000000"/>
          <w:sz w:val="24"/>
          <w:szCs w:val="21"/>
          <w:lang w:val="en-US" w:eastAsia="zh-CN" w:bidi="ar-SA"/>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bookmarkStart w:id="5" w:name="_Toc2932"/>
      <w:r>
        <w:rPr>
          <w:rFonts w:hint="eastAsia" w:ascii="宋体" w:hAnsi="宋体" w:eastAsia="宋体" w:cs="宋体"/>
          <w:b/>
          <w:color w:val="000000"/>
          <w:sz w:val="24"/>
          <w:szCs w:val="21"/>
          <w:lang w:val="en-US" w:eastAsia="zh-CN" w:bidi="ar-SA"/>
        </w:rPr>
        <w:t xml:space="preserve">二、</w:t>
      </w:r>
      <w:r>
        <w:rPr>
          <w:rFonts w:hint="default" w:ascii="宋体" w:hAnsi="宋体" w:eastAsia="宋体" w:cs="宋体"/>
          <w:b/>
          <w:color w:val="000000"/>
          <w:sz w:val="24"/>
          <w:szCs w:val="21"/>
          <w:lang w:val="en-US" w:eastAsia="zh-CN" w:bidi="ar-SA"/>
        </w:rPr>
        <w:t xml:space="preserve">项目概况</w:t>
      </w:r>
      <w:bookmarkEnd w:id="5"/>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1、项目名称：扬州市邗江区城市管理局2026-2028年邗江区拆除、装修垃圾收集处置服务项目</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2、项目内容：邗江区装修垃圾年需处理量约5万吨，拆除建筑垃圾年需处理量约30万吨。</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3、项目地点：扬州市邗江区，按采购人指定场所(原有收集点、现有收集点、各镇收集点等）</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4、本项目总预算金额：</w:t>
      </w:r>
      <w:r>
        <w:rPr>
          <w:rFonts w:hint="eastAsia" w:cs="Times New Roman" w:hAnsiTheme="minorEastAsia" w:eastAsiaTheme="minorEastAsia"/>
          <w:sz w:val="24"/>
          <w:szCs w:val="24"/>
        </w:rPr>
        <w:t xml:space="preserve">人民币</w:t>
      </w:r>
      <w:r>
        <w:rPr>
          <w:rFonts w:hint="eastAsia" w:cs="Times New Roman" w:hAnsiTheme="minorEastAsia" w:eastAsiaTheme="minorEastAsia"/>
          <w:sz w:val="24"/>
          <w:szCs w:val="24"/>
          <w:lang w:val="en-US" w:eastAsia="zh-CN"/>
        </w:rPr>
        <w:t xml:space="preserve">1000万元</w:t>
      </w:r>
      <w:r>
        <w:rPr>
          <w:rFonts w:hint="eastAsia" w:cs="Times New Roman" w:hAnsiTheme="minorEastAsia" w:eastAsiaTheme="minorEastAsia"/>
          <w:sz w:val="24"/>
          <w:szCs w:val="24"/>
        </w:rPr>
        <w:t xml:space="preserve">/两年(500万/年)</w:t>
      </w:r>
      <w:r>
        <w:rPr>
          <w:rFonts w:hint="eastAsia" w:cs="Times New Roman" w:hAnsiTheme="minorEastAsia" w:eastAsiaTheme="minorEastAsia"/>
          <w:sz w:val="24"/>
          <w:szCs w:val="24"/>
          <w:lang w:eastAsia="zh-CN"/>
        </w:rPr>
        <w:t xml:space="preserve">，</w:t>
      </w:r>
      <w:r>
        <w:rPr>
          <w:rFonts w:hint="eastAsia" w:cs="Times New Roman" w:hAnsiTheme="minorEastAsia" w:eastAsiaTheme="minorEastAsia"/>
          <w:sz w:val="24"/>
          <w:szCs w:val="24"/>
        </w:rPr>
        <w:t xml:space="preserve">95元/吨</w:t>
      </w:r>
      <w:r>
        <w:rPr>
          <w:rFonts w:hint="eastAsia" w:cs="Times New Roman" w:hAnsiTheme="minorEastAsia" w:eastAsiaTheme="minorEastAsia"/>
          <w:sz w:val="24"/>
          <w:szCs w:val="24"/>
          <w:lang w:eastAsia="zh-CN"/>
        </w:rPr>
        <w:t xml:space="preserve">，</w:t>
      </w:r>
      <w:r>
        <w:rPr>
          <w:rFonts w:hint="default" w:cs="Times New Roman" w:hAnsiTheme="minorEastAsia" w:eastAsiaTheme="minorEastAsia"/>
          <w:sz w:val="24"/>
          <w:szCs w:val="24"/>
        </w:rPr>
        <w:t xml:space="preserve">投标人按照单价报价，按实结算</w:t>
      </w:r>
      <w:r>
        <w:rPr>
          <w:rFonts w:hint="eastAsia" w:cs="Times New Roman" w:hAnsiTheme="minorEastAsia" w:eastAsiaTheme="minorEastAsia"/>
          <w:sz w:val="24"/>
          <w:szCs w:val="24"/>
        </w:rPr>
        <w:t xml:space="preserve">。</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5、服务期：自合同签订之日起两年（合同一年一签，考核合格可续签第二年合同）</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bookmarkStart w:id="6" w:name="_Toc20219"/>
      <w:r>
        <w:rPr>
          <w:rFonts w:ascii="宋体" w:hAnsi="宋体" w:cs="宋体"/>
          <w:b/>
          <w:bCs/>
          <w:color w:val="000000"/>
          <w:sz w:val="24"/>
        </w:rPr>
        <w:t xml:space="preserve">三、工作内容及范围</w:t>
      </w:r>
      <w:bookmarkEnd w:id="6"/>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（1）负责对邗江区范围内产生的（除市场化处置之外的）装修垃圾进行</w:t>
      </w:r>
      <w:bookmarkStart w:id="7" w:name="OLE_LINK1"/>
      <w:r>
        <w:rPr>
          <w:rFonts w:hint="default" w:cs="Times New Roman" w:hAnsiTheme="minorEastAsia" w:eastAsiaTheme="minorEastAsia"/>
          <w:sz w:val="24"/>
          <w:szCs w:val="24"/>
        </w:rPr>
        <w:t xml:space="preserve">资源化处置</w:t>
      </w:r>
      <w:bookmarkEnd w:id="7"/>
      <w:r>
        <w:rPr>
          <w:rFonts w:hint="default" w:cs="Times New Roman" w:hAnsiTheme="minorEastAsia" w:eastAsiaTheme="minorEastAsia"/>
          <w:sz w:val="24"/>
          <w:szCs w:val="24"/>
        </w:rPr>
        <w:t xml:space="preserve">，包括建筑、装修垃圾的接收存放、筛分破碎处理、处理后物料的资源化利用，以及装修垃圾筛分过程中产生的生活垃圾、可燃垃圾等暂存及处置；承担全区装修垃圾的运输、处置以及安全、环保等全过程责任；装修垃圾处理率达到100%、资源化再利用率达到85%。</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（2）根据环保部门相关要求，对额外产生的装修垃圾进行资源化处置。</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（3）对“一事一议”要求的装修垃圾进行资源化处置。</w:t>
      </w:r>
      <w:r/>
    </w:p>
    <w:p>
      <w:pPr>
        <w:ind w:firstLine="0"/>
        <w:rPr>
          <w:rFonts w:cs="Times New Roman" w:eastAsiaTheme="minorEastAsia"/>
          <w:b/>
          <w:bCs/>
          <w:sz w:val="24"/>
          <w:szCs w:val="24"/>
        </w:rPr>
        <w:outlineLvl w:val="1"/>
      </w:pPr>
      <w:r/>
      <w:bookmarkStart w:id="8" w:name="_Toc7307"/>
      <w:r>
        <w:rPr>
          <w:rFonts w:hint="eastAsia" w:cs="Times New Roman" w:hAnsiTheme="minorEastAsia" w:eastAsiaTheme="minorEastAsia"/>
          <w:b/>
          <w:bCs/>
          <w:sz w:val="24"/>
          <w:szCs w:val="24"/>
          <w:lang w:val="en-US" w:eastAsia="zh-CN"/>
        </w:rPr>
        <w:t xml:space="preserve">四</w:t>
      </w:r>
      <w:r>
        <w:rPr>
          <w:rFonts w:cs="Times New Roman" w:hAnsiTheme="minorEastAsia" w:eastAsiaTheme="minorEastAsia"/>
          <w:b/>
          <w:bCs/>
          <w:sz w:val="24"/>
          <w:szCs w:val="24"/>
        </w:rPr>
        <w:t xml:space="preserve">、对供应商的相关要求</w:t>
      </w:r>
      <w:bookmarkEnd w:id="8"/>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具有一个建筑垃圾年处理能力不低于30万吨，符合行业主管部门建筑垃圾资源化利用备案标准的建筑垃圾资源化利用处置厂，具有规范健全的资源化利用生产线，接收和处置拆除垃圾和装修垃圾，处理率达到100%、资源化再利用率达到85%。构建相应的计重监管系统。消纳处置场所具有环境主管部门出具的相应环境影响报告的批复意见并完成环保验收。2023年1月1日以来具有类似项目经验，具有有效的质量、安全、健康管理体系。</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2）负责组织实施建筑物等的拆除时，中标单位按规向住建、城管等单位审批或备案，并必须做好现场管理，确保不发生偷倒、漏倒等违规行为，一经发现必须及时处置，受到区住建、城管等相关部门单位处罚的，按招标合同约定进行处罚。</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3）拆除、装修垃圾的收集清运要求：中标人将产生的拆除、装修垃圾进行简单分类装运，必须做到集中堆放。运输过程应采取湿法作业、保持密闭，杜绝遗撒、粘挂、污损路面等情况。拆除、装修垃圾清运过程中倘若出现抛洒滴漏、污染环境等情况，由中标方利用洒水车等设备冲洗地面、清理抛洒的建筑垃圾。</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（4）拆除、装修垃圾处理要求：根据相关规定分类收集，各类垃圾需要按照不同的方式规范处置，杜绝二次污染。</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（5）拆除、装修垃圾资源化利用：拆除、装修垃圾具有一定的资源价值，通过一系列的加工流程，分筛出有用的物料从而生产出符合标准的建材，利用到城市建设中。</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（6）收集、清运工作的安全保证：建立健全的安全生产管理制度，同时加强安全生产教育与培训，重点工作要编制专项方案，确保整个项目实施过程中零事故。</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7）环境保护及突发应急处理：防止建筑拆除施工作业污染和扰民，依据国家和市有关规定。制定相应的环境保护措施，把环境保护列为主要内容之一，制定出以“方便居民生活，利于生产发展，维护环境卫生” 为宗旨的各环保措施。制定应急处理方案，提高防范和应对突发事件的能力，正确、有效快速处置各类突发事件，最大限度的预防和减少突发事件及其造成的损失和影响，保证职工生命财产安全。</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（8）车辆要求：①车辆必须符合相关密封要求；②车辆颜色、标识统一；③车辆必须加装卫星定位系统，并根据采购人要求，负责接入相应监管平台；</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（9）付款方式：合同签订后，甲方收到乙方开具的正式发票10个工作日内，预付合同金额30%，剩余合同总价的70%，</w:t>
      </w:r>
      <w:bookmarkStart w:id="9" w:name="OLE_LINK10"/>
      <w:r/>
      <w:bookmarkStart w:id="10" w:name="OLE_LINK11"/>
      <w:r>
        <w:rPr>
          <w:rFonts w:hint="default" w:cs="Times New Roman" w:hAnsiTheme="minorEastAsia" w:eastAsiaTheme="minorEastAsia"/>
          <w:sz w:val="24"/>
          <w:szCs w:val="24"/>
        </w:rPr>
        <w:t xml:space="preserve">甲乙双方在合同期内根据实际处置量和考核结果按季度结算服务费用（进度款支付时扣除已支付预付款，扣完为止），乙方向甲方开具发票，甲方自收到发票之日起10个工作日内支付。</w:t>
      </w:r>
      <w:bookmarkEnd w:id="9"/>
      <w:r/>
      <w:bookmarkEnd w:id="10"/>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（10）服务期限：服务期限为2年，投标报价按1年计算，合同一年一签，考核合格可续签第二年合同。如遇法律法规调整或政府重大决策调整，甲方可提前终止合同，需提前一个月通知乙方，办理结算。</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11）其他要求：服务质量必须符合甲方要求及市、区部门的相关规程和规范要求。中标方需安排不少于4人对全区建筑垃圾偷倒乱埋现象进行巡查并及时处置，同时上报监管部门。中标企业在进场之前一周内需完成全区范围内乱倒建筑垃圾进行摸排，上报监管部门。</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（12）采购方堆场内的建筑垃圾散乱需归堆的，归堆平整费用由中标方承担。</w:t>
      </w:r>
      <w:r/>
    </w:p>
    <w:p>
      <w:pPr>
        <w:ind w:firstLine="0"/>
        <w:rPr>
          <w:rFonts w:cs="Times New Roman" w:eastAsiaTheme="minorEastAsia"/>
          <w:b/>
          <w:bCs/>
          <w:sz w:val="24"/>
          <w:szCs w:val="24"/>
        </w:rPr>
      </w:pPr>
      <w:r>
        <w:rPr>
          <w:rFonts w:hint="eastAsia" w:cs="Times New Roman" w:hAnsiTheme="minorEastAsia" w:eastAsiaTheme="minorEastAsia"/>
          <w:b/>
          <w:bCs/>
          <w:sz w:val="24"/>
          <w:szCs w:val="24"/>
          <w:lang w:val="en-US" w:eastAsia="zh-CN"/>
        </w:rPr>
        <w:t xml:space="preserve">五</w:t>
      </w:r>
      <w:r>
        <w:rPr>
          <w:rFonts w:cs="Times New Roman" w:hAnsiTheme="minorEastAsia" w:eastAsiaTheme="minorEastAsia"/>
          <w:b/>
          <w:bCs/>
          <w:sz w:val="24"/>
          <w:szCs w:val="24"/>
        </w:rPr>
        <w:t xml:space="preserve">、采购标的需执行的国家相关标准、行业标准、地方标准或者其他标准、规范</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此次采购根据《中华人民共和国道路交通安全法》、《中华人民共和国道路交通安全法实施条例》、《中华人民共和国政府采购法》、《建筑垃圾处理技术规范》（CJJ134-2009）等法律法规。</w:t>
      </w:r>
      <w:r/>
    </w:p>
    <w:p>
      <w:pPr>
        <w:ind w:firstLine="0"/>
        <w:rPr>
          <w:rFonts w:cs="Times New Roman" w:eastAsiaTheme="minorEastAsia"/>
          <w:b/>
          <w:bCs/>
          <w:sz w:val="24"/>
          <w:szCs w:val="24"/>
        </w:rPr>
      </w:pPr>
      <w:r>
        <w:rPr>
          <w:rFonts w:hint="eastAsia" w:cs="Times New Roman" w:hAnsiTheme="minorEastAsia" w:eastAsiaTheme="minorEastAsia"/>
          <w:b/>
          <w:bCs/>
          <w:sz w:val="24"/>
          <w:szCs w:val="24"/>
          <w:lang w:val="en-US" w:eastAsia="zh-CN"/>
        </w:rPr>
        <w:t xml:space="preserve">六</w:t>
      </w:r>
      <w:r>
        <w:rPr>
          <w:rFonts w:cs="Times New Roman" w:hAnsiTheme="minorEastAsia" w:eastAsiaTheme="minorEastAsia"/>
          <w:b/>
          <w:bCs/>
          <w:sz w:val="24"/>
          <w:szCs w:val="24"/>
        </w:rPr>
        <w:t xml:space="preserve">、采购标的需满足的质量、安全、技术规格、物理特性等要求及项目简要说明作业质量要求</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（1）拆除、装修垃圾运输作业做到车走地净。</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（2）拆除、装修垃圾收集运输途中做到密闭运输，不得抛洒滴漏。</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（3）拆除、装修垃圾运输装运中应听从现场工作人员指挥，谨慎操作小心驾驶，以防人身机械事故的发生。</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（4）在拆除、装修垃圾运输工作中发生的任何交通事故及涉及人员伤亡、财物损坏等安全事故，均由中标人负责。</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（5）严禁车辆超载运营，因超载等违规、违法行为受到的处罚均由中标人承担。</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（6）拆除、装修垃圾到达处置点后必须按作业规范分拣、破碎、再生；如剩余残留物无法处理的应当委托有资质的第三方进行规范处置，不得随意抛洒、填埋，由此产生的一切后果由中标人承担。</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（7）拆除施工现场应严格落实大气污染防治措施，规范作业，并根据重污染天气预警等级，严格执行相应等级的应急响应要求。</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（8）投标人需有相关抑尘雾炮车。</w:t>
      </w:r>
      <w:r/>
    </w:p>
    <w:p>
      <w:pPr>
        <w:ind w:firstLine="0"/>
        <w:rPr>
          <w:rFonts w:cs="Times New Roman" w:eastAsiaTheme="minorEastAsia"/>
          <w:b/>
          <w:bCs/>
          <w:sz w:val="24"/>
          <w:szCs w:val="24"/>
        </w:rPr>
      </w:pPr>
      <w:r>
        <w:rPr>
          <w:rFonts w:hint="eastAsia" w:cs="Times New Roman" w:hAnsiTheme="minorEastAsia" w:eastAsiaTheme="minorEastAsia"/>
          <w:b/>
          <w:bCs/>
          <w:sz w:val="24"/>
          <w:szCs w:val="24"/>
          <w:lang w:val="en-US" w:eastAsia="zh-CN"/>
        </w:rPr>
        <w:t xml:space="preserve">七</w:t>
      </w:r>
      <w:r>
        <w:rPr>
          <w:rFonts w:cs="Times New Roman" w:hAnsiTheme="minorEastAsia" w:eastAsiaTheme="minorEastAsia"/>
          <w:b/>
          <w:bCs/>
          <w:sz w:val="24"/>
          <w:szCs w:val="24"/>
        </w:rPr>
        <w:t xml:space="preserve">、采购标的需满足的服务标准、期限、效率等要求</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（1）清理运输处置：中标人</w:t>
      </w:r>
      <w:r>
        <w:rPr>
          <w:rFonts w:hint="default" w:cs="Times New Roman" w:hAnsiTheme="minorEastAsia" w:eastAsiaTheme="minorEastAsia"/>
          <w:sz w:val="24"/>
          <w:szCs w:val="24"/>
        </w:rPr>
        <w:t xml:space="preserve">负责将拆除、装修垃圾分类清运至合法建筑垃圾处置点，如遇设备检修或其他客观原因，导致建筑垃圾处置点无法接纳的，由中标人自行寻找其他途径进行合法合规处理。建筑垃圾处置点应具备良好的道路环境，适合重型车辆的进出；设置清洗台及相应的污水处理及排放设施，进出口通道硬化，严禁运输车辆带泥上路；配备大型挖掘机、推土机、雾炮车等机械设备。做好环境管理工作，包括但不限于噪音控制、扬尘控制、污水排放等。运输车辆应按指定路线运输。垃圾要分类处理，有毒有害固体废弃物单独存放处置。现场必须安装监控摄像及地磅，安装费用由中标单位承担。</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（2）作业要求：</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①作业人员统一着装、佩证上岗。禁止使用超龄人员。</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②作业人员无拾荒行为，无聚堆闲聊、瞌睡或做与工作无关之事。</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③作业文明，采取有效措施防范扬尘、噪音等作业扰民问题。</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④中标人承担所有人员的安全责任及费用。</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⑤中标人应为作业人员提供工作服及必要的劳动防护用品。</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⑥作业服务期内，招标人根据工作需要召开会议时 ，中标人负责人必须准时参加。</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⑦机器设备采用符合招标人及法律法规要求的专用设备，所有机器设备外观整洁，状况良好。</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⑧安全责任：中标人负责在服务中一切安全工作，如发生人员伤亡等意外事故，一切后果及责任全部由中标人负责，采购方不承担任何安全及事故赔偿等责任。</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（3）拆除、装修垃圾堆放要求：</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①拆除、装修垃圾应及时清理，按品种、类别堆放在平整的地面上，高度应符合安全规定， 并留有一定的间距，防止倒塌伤人。</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②拆除、装修垃圾堆放的场地，要专人看管。禁止外来人员特别是小孩入内玩耍。严禁烟火，配有一定的消防器材，以防万一。</w:t>
      </w:r>
      <w:r/>
    </w:p>
    <w:p>
      <w:pPr>
        <w:ind w:firstLine="0"/>
        <w:rPr>
          <w:rFonts w:cs="Times New Roman" w:eastAsiaTheme="minorEastAsia"/>
          <w:b/>
          <w:bCs/>
          <w:sz w:val="24"/>
          <w:szCs w:val="24"/>
        </w:rPr>
      </w:pPr>
      <w:r>
        <w:rPr>
          <w:rFonts w:hint="eastAsia" w:cs="Times New Roman" w:hAnsiTheme="minorEastAsia" w:eastAsiaTheme="minorEastAsia"/>
          <w:b/>
          <w:bCs/>
          <w:sz w:val="24"/>
          <w:szCs w:val="24"/>
          <w:lang w:val="en-US" w:eastAsia="zh-CN"/>
        </w:rPr>
        <w:t xml:space="preserve">八</w:t>
      </w:r>
      <w:r>
        <w:rPr>
          <w:rFonts w:cs="Times New Roman" w:hAnsiTheme="minorEastAsia" w:eastAsiaTheme="minorEastAsia"/>
          <w:b/>
          <w:bCs/>
          <w:sz w:val="24"/>
          <w:szCs w:val="24"/>
        </w:rPr>
        <w:t xml:space="preserve">、本项目采购标的的数量、采购项目交付或者实施的时间和地点要求：</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（1）采购标的的数量：详见采购文件。</w:t>
      </w:r>
      <w:r/>
    </w:p>
    <w:p>
      <w:pPr>
        <w:ind w:firstLine="480"/>
        <w:spacing w:line="360" w:lineRule="auto"/>
        <w:rPr>
          <w:rFonts w:cs="Times New Roman" w:eastAsiaTheme="minorEastAsia"/>
          <w:sz w:val="24"/>
          <w:szCs w:val="24"/>
        </w:rPr>
      </w:pPr>
      <w:r>
        <w:rPr>
          <w:rFonts w:hint="default" w:cs="Times New Roman" w:hAnsiTheme="minorEastAsia" w:eastAsiaTheme="minorEastAsia"/>
          <w:sz w:val="24"/>
          <w:szCs w:val="24"/>
        </w:rPr>
        <w:t xml:space="preserve">（2）实施地点：按采购人指定场所(原有收集点、现有收集点、各镇收集点等）</w:t>
      </w:r>
      <w:r/>
    </w:p>
    <w:p>
      <w:pPr>
        <w:ind w:firstLine="0"/>
        <w:rPr>
          <w:rFonts w:cs="Times New Roman" w:eastAsiaTheme="minorEastAsia"/>
          <w:b/>
          <w:bCs/>
          <w:sz w:val="24"/>
          <w:szCs w:val="24"/>
        </w:rPr>
      </w:pPr>
      <w:r>
        <w:rPr>
          <w:rFonts w:hint="eastAsia" w:cs="Times New Roman" w:hAnsiTheme="minorEastAsia" w:eastAsiaTheme="minorEastAsia"/>
          <w:b/>
          <w:bCs/>
          <w:sz w:val="24"/>
          <w:szCs w:val="24"/>
          <w:lang w:val="en-US" w:eastAsia="zh-CN"/>
        </w:rPr>
        <w:t xml:space="preserve">九</w:t>
      </w:r>
      <w:r>
        <w:rPr>
          <w:rFonts w:cs="Times New Roman" w:hAnsiTheme="minorEastAsia" w:eastAsiaTheme="minorEastAsia"/>
          <w:b/>
          <w:bCs/>
          <w:sz w:val="24"/>
          <w:szCs w:val="24"/>
        </w:rPr>
        <w:t xml:space="preserve">、本项目验收标准：按国家现行法律法规的要求进行验收（附清运票据）。</w:t>
      </w:r>
      <w:r/>
    </w:p>
    <w:p>
      <w:pPr>
        <w:ind w:firstLine="0"/>
        <w:rPr>
          <w:rFonts w:cs="Times New Roman" w:eastAsiaTheme="minorEastAsia"/>
          <w:b/>
          <w:bCs/>
          <w:sz w:val="24"/>
          <w:szCs w:val="24"/>
        </w:rPr>
      </w:pPr>
      <w:r>
        <w:rPr>
          <w:rFonts w:cs="Times New Roman" w:hAnsiTheme="minorEastAsia" w:eastAsiaTheme="minorEastAsia"/>
          <w:b/>
          <w:bCs/>
          <w:sz w:val="24"/>
          <w:szCs w:val="24"/>
        </w:rPr>
        <w:t xml:space="preserve">十、项目方案要求：</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（1）收集、清运服务实施方案</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1）收集垃圾的实施方案：包括明确收集范围、针对不同场景制定差异化收集流程、现场管理等</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2）清运垃圾的实施方案：包括清运机械安排、车辆管理及调度，标准化作业流程等。</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（2）拆除、装修垃圾处理方案</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1）拆除、装修垃圾分拣工艺：包括不同垃圾暂存方式、分类分拣方式、制定详细的分类标准和操作流程、具体工艺等。</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2）拆除、装修垃圾处理工艺：包括不同垃圾处理方式、分类处理方式、制定详细的分类标准和操作流程、具体工艺等。</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3）拆除方案：包括拆除质量、进度、安全、环保保障措施等。</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（3）拆除、装修垃圾资源化利用方案</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1）拆除、装修垃圾再生利用处理方案：结合邗江区建筑垃圾资源化利用设施布局，制定具体的资源化利用路径、详细说明资源化处理的核心工艺、明确资源化产物的种类、规格、质量标准和主要用途等。</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2）拆除、装修垃圾再生利用运营维护方案：需量化资源化利用目标，确保年度资源化利用率达到相关要求及运营维护保障措施等。</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4）收集、清运工作的安全保证措施：包括建立完善的安全管理制度，涵盖车辆安全、人员操作安全、现场作业安全等方面，运输车辆维护保养方案，驾驶人员安全培训方案，收集清运作业现场设置警示标识设置，安全防护设备，制定车辆突发故障、交通事故等应急处置预案等。</w:t>
      </w:r>
      <w:r>
        <w:rPr>
          <w:rFonts w:hint="default" w:cs="Times New Roman" w:hAnsiTheme="minorEastAsia" w:eastAsiaTheme="minorEastAsia"/>
          <w:sz w:val="24"/>
          <w:szCs w:val="24"/>
        </w:rPr>
        <w:tab/>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5）环境保护及突发应急方案：针对收集清运过程中的扬尘、遗撒、噪音等污染问题，制定专项防控措施，如车辆安装密闭装置、作业现场洒水降尘、夜间作业控制噪音等。建立环境污染突发应急机制，明确应急处置流程、责任人员及物资储备，一旦发生遗撒、泄漏等情况，能快速响应、及时清理，将环境影响降至最低。</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（6）服务响应措施及服务质量保证措施：包括服务响应时间、响应措施、服务质量保障机制、相关响应承诺等。</w:t>
      </w:r>
      <w:r/>
    </w:p>
    <w:p>
      <w:pPr>
        <w:ind w:firstLine="0"/>
        <w:rPr>
          <w:rFonts w:cs="Times New Roman" w:eastAsiaTheme="minorEastAsia"/>
          <w:b/>
          <w:bCs/>
          <w:sz w:val="24"/>
          <w:szCs w:val="24"/>
        </w:rPr>
      </w:pPr>
      <w:r>
        <w:rPr>
          <w:rFonts w:cs="Times New Roman" w:hAnsiTheme="minorEastAsia" w:eastAsiaTheme="minorEastAsia"/>
          <w:b/>
          <w:bCs/>
          <w:sz w:val="24"/>
          <w:szCs w:val="24"/>
        </w:rPr>
        <w:t xml:space="preserve">十</w:t>
      </w:r>
      <w:r>
        <w:rPr>
          <w:rFonts w:hint="eastAsia" w:cs="Times New Roman" w:hAnsiTheme="minorEastAsia" w:eastAsiaTheme="minorEastAsia"/>
          <w:b/>
          <w:bCs/>
          <w:sz w:val="24"/>
          <w:szCs w:val="24"/>
          <w:lang w:val="en-US" w:eastAsia="zh-CN"/>
        </w:rPr>
        <w:t xml:space="preserve">一</w:t>
      </w:r>
      <w:r>
        <w:rPr>
          <w:rFonts w:cs="Times New Roman" w:hAnsiTheme="minorEastAsia" w:eastAsiaTheme="minorEastAsia"/>
          <w:b/>
          <w:bCs/>
          <w:sz w:val="24"/>
          <w:szCs w:val="24"/>
        </w:rPr>
        <w:t xml:space="preserve">、其他技术、服务要求：</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（1）合同履行期间将按照相关规定对该招标项目进行检查考核和验收。</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（2）中标人须按照本招标文件的要求对该招标项目进行拆除、装修垃圾清理。</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（3）中标人的用工必须符合国家用工的相关规定。</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（4）中标人必须说明其是否响应采购文件中提出的全部服务内容与要求，如果以其中某些条款不响应时，应在文件中逐条列出，未列出的视同响应。</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5）现场踏勘：为更好地了解现场情况,各投标人需自行至现场进行踏勘，熟悉现场及周围道路等情况，以获得一切可能影响其投标的直接资料。中标人中标后，不得以不完全了解现场情况为理由而向招标采购单位提出任何索赔或加价的要求，对此招标采购单位不承担任何责任并将不作任何答复与考虑。</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（6）本项目装修垃圾处置实行单价包干按实计量，结算量以处置点过磅的数量为准，建筑物拆除实行评估价×（1+上浮费率），向实施单位缴纳残值费。</w:t>
      </w:r>
      <w:r/>
    </w:p>
    <w:p>
      <w:pPr>
        <w:ind w:firstLine="480"/>
        <w:spacing w:line="360" w:lineRule="auto"/>
        <w:rPr>
          <w:rFonts w:hint="default" w:cs="Times New Roman" w:hAnsiTheme="minorEastAsia" w:eastAsiaTheme="minorEastAsia"/>
          <w:i/>
          <w:iCs/>
          <w:sz w:val="24"/>
          <w:szCs w:val="24"/>
          <w:u w:val="single"/>
        </w:rPr>
      </w:pPr>
      <w:r>
        <w:rPr>
          <w:rFonts w:hint="default" w:cs="Times New Roman" w:hAnsiTheme="minorEastAsia" w:eastAsiaTheme="minorEastAsia"/>
          <w:i/>
          <w:iCs/>
          <w:sz w:val="24"/>
          <w:szCs w:val="24"/>
          <w:u w:val="single"/>
        </w:rPr>
        <w:t xml:space="preserve">（7）负责组织实施邗江区范围内所有由政府和国有企业负责实施征收（搬迁）项目的建筑物等</w:t>
      </w:r>
      <w:bookmarkStart w:id="11" w:name="OLE_LINK8"/>
      <w:r/>
      <w:bookmarkStart w:id="12" w:name="OLE_LINK7"/>
      <w:r>
        <w:rPr>
          <w:rFonts w:hint="default" w:cs="Times New Roman" w:hAnsiTheme="minorEastAsia" w:eastAsiaTheme="minorEastAsia"/>
          <w:i/>
          <w:iCs/>
          <w:sz w:val="24"/>
          <w:szCs w:val="24"/>
          <w:u w:val="single"/>
        </w:rPr>
        <w:t xml:space="preserve">拆除并支付相应残值</w:t>
      </w:r>
      <w:bookmarkEnd w:id="11"/>
      <w:r/>
      <w:bookmarkEnd w:id="12"/>
      <w:r>
        <w:rPr>
          <w:rFonts w:hint="default" w:cs="Times New Roman" w:hAnsiTheme="minorEastAsia" w:eastAsiaTheme="minorEastAsia"/>
          <w:i/>
          <w:iCs/>
          <w:sz w:val="24"/>
          <w:szCs w:val="24"/>
          <w:u w:val="single"/>
        </w:rPr>
        <w:t xml:space="preserve">（具体按区政府相关职能部门确定的有资质的评估单位评估结果上浮8%执行，其中厂房与商务楼宇按评估结果上浮20%执行），收集、清运、处置上述范围内的建筑垃圾，相应的费用全部由中标人承担。（投标人需提供书面承诺，格式自拟）</w:t>
      </w:r>
      <w:r/>
    </w:p>
    <w:p>
      <w:pPr>
        <w:ind w:firstLine="480"/>
        <w:spacing w:line="360" w:lineRule="auto"/>
        <w:rPr>
          <w:rFonts w:hint="default" w:cs="Times New Roman" w:hAnsiTheme="minorEastAsia" w:eastAsiaTheme="minorEastAsia"/>
          <w:i/>
          <w:iCs/>
          <w:sz w:val="24"/>
          <w:szCs w:val="24"/>
          <w:u w:val="single"/>
        </w:rPr>
      </w:pPr>
      <w:r>
        <w:rPr>
          <w:rFonts w:hint="default" w:cs="Times New Roman" w:hAnsiTheme="minorEastAsia" w:eastAsiaTheme="minorEastAsia"/>
          <w:i/>
          <w:iCs/>
          <w:sz w:val="24"/>
          <w:szCs w:val="24"/>
          <w:u w:val="single"/>
        </w:rPr>
        <w:t xml:space="preserve">（8）投标人严禁将服务进行转包，其中垃圾资源化处置和利用工作严禁分包（提供承诺书原件上传，格式自拟）；</w:t>
      </w:r>
      <w:r/>
    </w:p>
    <w:p>
      <w:pPr>
        <w:ind w:firstLine="480"/>
        <w:spacing w:line="360" w:lineRule="auto"/>
        <w:rPr>
          <w:rFonts w:hint="default" w:cs="Times New Roman" w:hAnsiTheme="minorEastAsia" w:eastAsiaTheme="minorEastAsia"/>
          <w:i/>
          <w:iCs/>
          <w:sz w:val="24"/>
          <w:szCs w:val="24"/>
          <w:u w:val="single"/>
        </w:rPr>
      </w:pPr>
      <w:r>
        <w:rPr>
          <w:rFonts w:hint="default" w:cs="Times New Roman" w:hAnsiTheme="minorEastAsia" w:eastAsiaTheme="minorEastAsia"/>
          <w:i/>
          <w:iCs/>
          <w:sz w:val="24"/>
          <w:szCs w:val="24"/>
          <w:u w:val="single"/>
        </w:rPr>
        <w:t xml:space="preserve">（9）投标人或其委托运输方必须满足扬州市交通警察支队关于建筑垃圾清运的规定</w:t>
      </w:r>
      <w:bookmarkStart w:id="13" w:name="OLE_LINK2"/>
      <w:r>
        <w:rPr>
          <w:rFonts w:hint="default" w:cs="Times New Roman" w:hAnsiTheme="minorEastAsia" w:eastAsiaTheme="minorEastAsia"/>
          <w:i/>
          <w:iCs/>
          <w:sz w:val="24"/>
          <w:szCs w:val="24"/>
          <w:u w:val="single"/>
        </w:rPr>
        <w:t xml:space="preserve">（</w:t>
      </w:r>
      <w:bookmarkStart w:id="14" w:name="OLE_LINK4"/>
      <w:r/>
      <w:bookmarkStart w:id="15" w:name="OLE_LINK3"/>
      <w:r>
        <w:rPr>
          <w:rFonts w:hint="default" w:cs="Times New Roman" w:hAnsiTheme="minorEastAsia" w:eastAsiaTheme="minorEastAsia"/>
          <w:i/>
          <w:iCs/>
          <w:sz w:val="24"/>
          <w:szCs w:val="24"/>
          <w:u w:val="single"/>
        </w:rPr>
        <w:t xml:space="preserve">提供承诺书原件上传，格式自拟）</w:t>
      </w:r>
      <w:bookmarkEnd w:id="14"/>
      <w:r/>
      <w:bookmarkEnd w:id="15"/>
      <w:r>
        <w:rPr>
          <w:rFonts w:hint="default" w:cs="Times New Roman" w:hAnsiTheme="minorEastAsia" w:eastAsiaTheme="minorEastAsia"/>
          <w:i/>
          <w:iCs/>
          <w:sz w:val="24"/>
          <w:szCs w:val="24"/>
          <w:u w:val="single"/>
        </w:rPr>
        <w:t xml:space="preserve">；</w:t>
      </w:r>
      <w:bookmarkEnd w:id="13"/>
      <w:r/>
      <w:r/>
    </w:p>
    <w:p>
      <w:pPr>
        <w:ind w:firstLine="480"/>
        <w:spacing w:line="360" w:lineRule="auto"/>
        <w:rPr>
          <w:rFonts w:hint="default" w:cs="Times New Roman" w:hAnsiTheme="minorEastAsia" w:eastAsiaTheme="minorEastAsia"/>
          <w:i/>
          <w:iCs/>
          <w:sz w:val="24"/>
          <w:szCs w:val="24"/>
          <w:u w:val="single"/>
        </w:rPr>
      </w:pPr>
      <w:r>
        <w:rPr>
          <w:rFonts w:hint="default" w:cs="Times New Roman" w:hAnsiTheme="minorEastAsia" w:eastAsiaTheme="minorEastAsia"/>
          <w:i/>
          <w:iCs/>
          <w:sz w:val="24"/>
          <w:szCs w:val="24"/>
          <w:u w:val="single"/>
        </w:rPr>
        <w:t xml:space="preserve">（10）投标企业须具备房屋建筑工程施工总承包三级及以上资质或承诺中标后项目拆除部分的工作内容由具有房屋建筑施工总承包三级及以上资质的单位实施（提供资质证书原件或承诺函原件扫描件）</w:t>
      </w:r>
      <w:r/>
    </w:p>
    <w:p>
      <w:pPr>
        <w:ind w:firstLine="480"/>
        <w:spacing w:line="360" w:lineRule="auto"/>
        <w:rPr>
          <w:rFonts w:hint="default" w:cs="Times New Roman" w:hAnsiTheme="minorEastAsia" w:eastAsiaTheme="minorEastAsia"/>
          <w:i/>
          <w:iCs/>
          <w:sz w:val="24"/>
          <w:szCs w:val="24"/>
          <w:u w:val="single"/>
        </w:rPr>
      </w:pPr>
      <w:r>
        <w:rPr>
          <w:rFonts w:hint="default" w:cs="Times New Roman" w:hAnsiTheme="minorEastAsia" w:eastAsiaTheme="minorEastAsia"/>
          <w:i/>
          <w:iCs/>
          <w:sz w:val="24"/>
          <w:szCs w:val="24"/>
          <w:u w:val="single"/>
        </w:rPr>
        <w:t xml:space="preserve">（11）投标人在项目实施过程中，安全保证措施需满足相关法律法规及本次招标要求，并配备专职安全员；（提供承诺书原件上传，格式自拟）</w:t>
      </w:r>
      <w:r/>
    </w:p>
    <w:p>
      <w:pPr>
        <w:ind w:firstLine="0"/>
        <w:rPr>
          <w:rFonts w:cs="Times New Roman" w:eastAsiaTheme="minorEastAsia"/>
          <w:b/>
          <w:bCs/>
          <w:sz w:val="24"/>
          <w:szCs w:val="24"/>
        </w:rPr>
      </w:pPr>
      <w:r>
        <w:rPr>
          <w:rFonts w:cs="Times New Roman" w:hAnsiTheme="minorEastAsia" w:eastAsiaTheme="minorEastAsia"/>
          <w:b/>
          <w:bCs/>
          <w:sz w:val="24"/>
          <w:szCs w:val="24"/>
        </w:rPr>
        <w:t xml:space="preserve">十</w:t>
      </w:r>
      <w:r>
        <w:rPr>
          <w:rFonts w:hint="eastAsia" w:cs="Times New Roman" w:hAnsiTheme="minorEastAsia" w:eastAsiaTheme="minorEastAsia"/>
          <w:b/>
          <w:bCs/>
          <w:sz w:val="24"/>
          <w:szCs w:val="24"/>
          <w:lang w:val="en-US" w:eastAsia="zh-CN"/>
        </w:rPr>
        <w:t xml:space="preserve">二</w:t>
      </w:r>
      <w:r>
        <w:rPr>
          <w:rFonts w:cs="Times New Roman" w:hAnsiTheme="minorEastAsia" w:eastAsiaTheme="minorEastAsia"/>
          <w:b/>
          <w:bCs/>
          <w:sz w:val="24"/>
          <w:szCs w:val="24"/>
        </w:rPr>
        <w:t xml:space="preserve">、相关罚则：</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招标的验收标准：招标人按服务作业质量考核办法进行验收，考核办法具体内容：</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（1）规定时间内的拆除、装修垃圾必须限时处理干净，如果没有及时处理且未达到招标人要求的，每拖延一天，扣款500元。</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（2）日常考核检查中发现存在严重问题中标人却不及时整改的，发现一次扣款500元，第二次扣款1000元，以此类推，扣完为止。</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（3）如接到12345便民热线等群众投诉反映清理过程不到位，有抛洒滴漏、超速违规、就地焚烧垃圾等现象，发现一次扣款500元，第二次扣款1000元，以此类推，扣完为止。</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（4）中标人管理人员必须做好垃圾进出场记录。若未能及时做好记录，扣除考核款200元/次。</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（5）如遇突发事件中标人必须承诺接到通知后2小时内到达现场，在规定时间内清理完成。若不能完成，招标人立即安排其他单位清理，清理费用双倍在应付服务款中扣除，并扣除考核款3000元/次。</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（6）如发现</w:t>
      </w:r>
      <w:bookmarkStart w:id="16" w:name="OLE_LINK5"/>
      <w:r/>
      <w:bookmarkStart w:id="17" w:name="OLE_LINK6"/>
      <w:r>
        <w:rPr>
          <w:rFonts w:hint="default" w:cs="Times New Roman" w:hAnsiTheme="minorEastAsia" w:eastAsiaTheme="minorEastAsia"/>
          <w:sz w:val="24"/>
          <w:szCs w:val="24"/>
        </w:rPr>
        <w:t xml:space="preserve">中标人</w:t>
      </w:r>
      <w:bookmarkEnd w:id="16"/>
      <w:r/>
      <w:bookmarkEnd w:id="17"/>
      <w:r>
        <w:rPr>
          <w:rFonts w:hint="default" w:cs="Times New Roman" w:hAnsiTheme="minorEastAsia" w:eastAsiaTheme="minorEastAsia"/>
          <w:sz w:val="24"/>
          <w:szCs w:val="24"/>
        </w:rPr>
        <w:t xml:space="preserve">在运输处置过程中私自增加运输垃圾、虚增（计）数量等弄虚作假行为，第一次扣款10000元，第二次将直接终止合同。</w:t>
      </w:r>
      <w:r/>
    </w:p>
    <w:p>
      <w:pPr>
        <w:ind w:firstLine="480"/>
        <w:spacing w:line="360" w:lineRule="auto"/>
        <w:rPr>
          <w:rFonts w:hint="default" w:cs="Times New Roman" w:hAnsiTheme="minorEastAsia" w:eastAsiaTheme="minorEastAsia"/>
          <w:sz w:val="24"/>
          <w:szCs w:val="24"/>
        </w:rPr>
      </w:pPr>
      <w:r>
        <w:rPr>
          <w:rFonts w:hint="default" w:cs="Times New Roman" w:hAnsiTheme="minorEastAsia" w:eastAsiaTheme="minorEastAsia"/>
          <w:sz w:val="24"/>
          <w:szCs w:val="24"/>
        </w:rPr>
        <w:t xml:space="preserve">（7）如发现中标人在服务过程中，将资源化处置和利用工作转包或分包，采购人将直接解除合同。</w:t>
      </w:r>
      <w:r/>
    </w:p>
    <w:p>
      <w:pPr>
        <w:rPr>
          <w:rFonts w:cs="Times New Roman"/>
          <w:b/>
          <w:bCs/>
          <w:sz w:val="24"/>
          <w:szCs w:val="24"/>
        </w:rPr>
      </w:pPr>
      <w:r>
        <w:rPr>
          <w:rFonts w:cs="Times New Roman"/>
          <w:b/>
          <w:bCs/>
          <w:sz w:val="24"/>
          <w:szCs w:val="24"/>
        </w:rPr>
      </w:r>
      <w:r/>
    </w:p>
    <w:p>
      <w:pPr>
        <w:rPr>
          <w:rFonts w:cs="Times New Roman"/>
          <w:sz w:val="24"/>
          <w:szCs w:val="24"/>
        </w:rPr>
      </w:pPr>
      <w:r>
        <w:rPr>
          <w:rFonts w:cs="Times New Roman"/>
          <w:sz w:val="24"/>
          <w:szCs w:val="24"/>
        </w:rPr>
      </w:r>
      <w:r/>
    </w:p>
    <w:p>
      <w:pPr>
        <w:numPr>
          <w:ilvl w:val="3"/>
          <w:numId w:val="0"/>
        </w:numPr>
        <w:tabs>
          <w:tab w:val="left" w:pos="0" w:leader="none"/>
        </w:tabs>
        <w:rPr>
          <w:rFonts w:cs="Times New Roman"/>
          <w:sz w:val="24"/>
          <w:szCs w:val="24"/>
        </w:rPr>
      </w:pPr>
      <w:r>
        <w:rPr>
          <w:rFonts w:cs="Times New Roman"/>
          <w:sz w:val="24"/>
          <w:szCs w:val="24"/>
        </w:rPr>
      </w:r>
      <w:r/>
    </w:p>
    <w:p>
      <w:pPr>
        <w:rPr>
          <w:rFonts w:cs="Times New Roman"/>
          <w:sz w:val="24"/>
          <w:szCs w:val="24"/>
        </w:rPr>
      </w:pPr>
      <w:r>
        <w:rPr>
          <w:rFonts w:cs="Times New Roman"/>
          <w:sz w:val="24"/>
          <w:szCs w:val="24"/>
        </w:rPr>
      </w:r>
      <w:r/>
    </w:p>
    <w:p>
      <w:pPr>
        <w:rPr>
          <w:rFonts w:hint="default"/>
          <w:lang w:val="en-US" w:eastAsia="zh-CN"/>
        </w:rPr>
      </w:pPr>
      <w:r>
        <w:rPr>
          <w:rStyle w:val="974"/>
          <w:rFonts w:eastAsia="黑体" w:cs="Times New Roman"/>
          <w:b w:val="0"/>
          <w:sz w:val="24"/>
          <w:szCs w:val="24"/>
        </w:rPr>
        <w:br w:type="page" w:clear="all"/>
      </w:r>
      <w:r/>
    </w:p>
    <w:p>
      <w:pPr>
        <w:pStyle w:val="939"/>
      </w:pPr>
      <w:r>
        <w:rPr>
          <w:rFonts w:ascii="黑体" w:hAnsi="黑体" w:cs="黑体"/>
          <w:color w:val="000000"/>
        </w:rPr>
        <w:t xml:space="preserve"> 第五章</w:t>
      </w:r>
      <w:r>
        <w:rPr>
          <w:rFonts w:hint="eastAsia" w:ascii="黑体" w:hAnsi="黑体" w:cs="黑体"/>
          <w:color w:val="000000"/>
          <w:lang w:val="en-US" w:eastAsia="zh-CN"/>
        </w:rPr>
        <w:t xml:space="preserve">  </w:t>
      </w:r>
      <w:r>
        <w:rPr>
          <w:rFonts w:ascii="黑体" w:hAnsi="黑体" w:cs="黑体"/>
          <w:color w:val="000000"/>
        </w:rPr>
        <w:t xml:space="preserve">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1037"/>
        <w:ind w:firstLine="439"/>
        <w:rPr>
          <w:rFonts w:ascii="宋体" w:hAnsi="宋体"/>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771"/>
        <w:tblW w:w="8664"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1134"/>
        <w:gridCol w:w="63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Cs w:val="18"/>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330" w:type="dxa"/>
            <w:vAlign w:val="center"/>
            <w:textDirection w:val="lrTb"/>
            <w:noWrap w:val="false"/>
          </w:tcPr>
          <w:p>
            <w:pPr>
              <w:jc w:val="left"/>
              <w:rPr>
                <w:rFonts w:ascii="宋体" w:hAnsi="宋体" w:cs="宋体"/>
                <w:sz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w:t>
      </w:r>
      <w:r/>
    </w:p>
    <w:tbl>
      <w:tblPr>
        <w:tblStyle w:val="771"/>
        <w:tblW w:w="8649"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4"/>
        <w:gridCol w:w="634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rHeight w:val="42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3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3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1、小微型企业价格扣除</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（1）本项目对小型和微型企业产品给予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的扣除价格，用扣除后的价格参与评审。</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（2）供应商需按照采购文件的要求提供相应的《中小企业声明函》。</w:t>
      </w:r>
      <w:r/>
    </w:p>
    <w:p>
      <w:pPr>
        <w:ind w:firstLine="3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（3）企业标准请参照《关于印发中小企业划型标准规定的通知》（工信部联企业[2011]300号）文件规定自行填写。</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2、残疾人福利单位价格扣除</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（1）本项目对残疾人福利性单位视同小型、微型企业，给予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（2）残疾人福利单位需按照采购文件的要求提供《残疾人福利性单位声明函》。</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（3）残疾人福利单位标准请参照《关于促进残疾人就业政府采购政策的通知》（财库〔2017〕141号）。</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3、监狱和戒毒企业价格扣除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（1）本项目对监狱和戒毒企业（简称监狱企业）视同小型、微型企业，给予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（3）监狱企业标准请参照《关于政府采购支持监狱企业发展有关问题的通知》（财库〔2014〕68号）。</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6、联合体各方均为小型、微型企业（残疾人福利单位、监狱企业）的，联合体享受</w:t>
      </w:r>
      <w:r>
        <w:rPr>
          <w:rFonts w:ascii="宋体" w:hAnsi="宋体" w:cs="宋体"/>
          <w:color w:val="000000"/>
          <w:sz w:val="24"/>
          <w:highlight w:val="none"/>
          <w:u w:val="single"/>
        </w:rPr>
        <w:t xml:space="preserve">/</w:t>
      </w:r>
      <w:r>
        <w:rPr>
          <w:rFonts w:ascii="宋体" w:hAnsi="宋体" w:cs="宋体"/>
          <w:color w:val="000000"/>
          <w:sz w:val="24"/>
          <w:highlight w:val="none"/>
        </w:rPr>
        <w:t xml:space="preserve">价格扣除，用扣除后的价格参与评审。</w:t>
      </w:r>
      <w:r/>
    </w:p>
    <w:p>
      <w:pPr>
        <w:ind w:firstLine="482"/>
        <w:jc w:val="left"/>
        <w:spacing w:before="120" w:after="120" w:line="0" w:lineRule="atLeast"/>
        <w:rPr>
          <w:b/>
          <w:szCs w:val="21"/>
        </w:rPr>
      </w:pPr>
      <w:r>
        <w:rPr>
          <w:rFonts w:hint="eastAsia" w:ascii="宋体" w:hAnsi="宋体"/>
          <w:b/>
          <w:color w:val="000000"/>
          <w:sz w:val="24"/>
          <w:szCs w:val="24"/>
        </w:rPr>
        <w:t xml:space="preserve">评标方法与评标标准</w:t>
      </w:r>
      <w:r/>
    </w:p>
    <w:tbl>
      <w:tblPr>
        <w:tblStyle w:val="746"/>
        <w:tblW w:w="89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7624"/>
      </w:tblGrid>
      <w:tr>
        <w:trPr>
          <w:trHeight w:val="90"/>
        </w:trPr>
        <w:tc>
          <w:tcPr>
            <w:tcW w:w="1375" w:type="dxa"/>
            <w:vAlign w:val="center"/>
            <w:textDirection w:val="lrTb"/>
            <w:noWrap w:val="false"/>
          </w:tcPr>
          <w:p>
            <w:pPr>
              <w:ind w:firstLine="0"/>
              <w:jc w:val="center"/>
              <w:rPr>
                <w:rFonts w:cs="Times New Roman"/>
                <w:b/>
                <w:bCs/>
                <w:sz w:val="24"/>
                <w:szCs w:val="24"/>
              </w:rPr>
            </w:pPr>
            <w:r>
              <w:rPr>
                <w:rFonts w:cs="Times New Roman"/>
                <w:b/>
                <w:bCs/>
                <w:sz w:val="24"/>
                <w:szCs w:val="24"/>
              </w:rPr>
              <w:t xml:space="preserve">项目</w:t>
            </w:r>
            <w:r/>
          </w:p>
        </w:tc>
        <w:tc>
          <w:tcPr>
            <w:tcW w:w="7624" w:type="dxa"/>
            <w:vAlign w:val="center"/>
            <w:textDirection w:val="lrTb"/>
            <w:noWrap w:val="false"/>
          </w:tcPr>
          <w:p>
            <w:pPr>
              <w:ind w:firstLine="422"/>
              <w:jc w:val="center"/>
              <w:rPr>
                <w:rFonts w:cs="Times New Roman"/>
                <w:b/>
                <w:bCs/>
                <w:sz w:val="24"/>
                <w:szCs w:val="24"/>
              </w:rPr>
            </w:pPr>
            <w:r>
              <w:rPr>
                <w:rFonts w:hAnsi="宋体" w:cs="Times New Roman"/>
                <w:b/>
                <w:bCs/>
                <w:sz w:val="24"/>
                <w:szCs w:val="24"/>
              </w:rPr>
              <w:t xml:space="preserve">评分标准</w:t>
            </w:r>
            <w:r/>
          </w:p>
        </w:tc>
      </w:tr>
      <w:tr>
        <w:trPr>
          <w:trHeight w:val="796"/>
        </w:trPr>
        <w:tc>
          <w:tcPr>
            <w:tcW w:w="1375" w:type="dxa"/>
            <w:vAlign w:val="center"/>
            <w:textDirection w:val="lrTb"/>
            <w:noWrap w:val="false"/>
          </w:tcPr>
          <w:p>
            <w:pPr>
              <w:ind w:firstLine="0"/>
              <w:jc w:val="center"/>
              <w:rPr>
                <w:rFonts w:cs="Times New Roman"/>
                <w:b/>
                <w:bCs/>
                <w:sz w:val="24"/>
                <w:szCs w:val="24"/>
              </w:rPr>
            </w:pPr>
            <w:r>
              <w:rPr>
                <w:rFonts w:cs="Times New Roman"/>
                <w:b/>
                <w:bCs/>
                <w:sz w:val="24"/>
                <w:szCs w:val="24"/>
              </w:rPr>
              <w:t xml:space="preserve">报价</w:t>
            </w:r>
            <w:r/>
          </w:p>
          <w:p>
            <w:pPr>
              <w:ind w:firstLine="0"/>
              <w:jc w:val="center"/>
              <w:rPr>
                <w:rFonts w:cs="Times New Roman"/>
                <w:b/>
                <w:bCs/>
                <w:sz w:val="24"/>
                <w:szCs w:val="24"/>
              </w:rPr>
            </w:pPr>
            <w:r>
              <w:rPr>
                <w:rFonts w:cs="Times New Roman"/>
                <w:b/>
                <w:bCs/>
                <w:sz w:val="24"/>
                <w:szCs w:val="24"/>
              </w:rPr>
              <w:t xml:space="preserve">（25分）</w:t>
            </w:r>
            <w:r/>
          </w:p>
        </w:tc>
        <w:tc>
          <w:tcPr>
            <w:tcW w:w="7624" w:type="dxa"/>
            <w:vAlign w:val="center"/>
            <w:textDirection w:val="lrTb"/>
            <w:noWrap w:val="false"/>
          </w:tcPr>
          <w:p>
            <w:pPr>
              <w:jc w:val="left"/>
              <w:rPr>
                <w:rFonts w:cs="Times New Roman"/>
                <w:sz w:val="24"/>
                <w:szCs w:val="24"/>
              </w:rPr>
            </w:pPr>
            <w:r>
              <w:rPr>
                <w:rFonts w:hAnsi="宋体" w:cs="Times New Roman"/>
                <w:sz w:val="24"/>
                <w:szCs w:val="24"/>
              </w:rPr>
              <w:t xml:space="preserve">以满足招标文件要求的最低投标报价为评标基准价，得满分</w:t>
            </w:r>
            <w:r>
              <w:rPr>
                <w:rFonts w:cs="Times New Roman"/>
                <w:sz w:val="24"/>
                <w:szCs w:val="24"/>
              </w:rPr>
              <w:t xml:space="preserve">25</w:t>
            </w:r>
            <w:r>
              <w:rPr>
                <w:rFonts w:hAnsi="宋体" w:cs="Times New Roman"/>
                <w:sz w:val="24"/>
                <w:szCs w:val="24"/>
              </w:rPr>
              <w:t xml:space="preserve">分，其他投标报价得分</w:t>
            </w:r>
            <w:r>
              <w:rPr>
                <w:rFonts w:cs="Times New Roman"/>
                <w:sz w:val="24"/>
                <w:szCs w:val="24"/>
              </w:rPr>
              <w:t xml:space="preserve">=</w:t>
            </w:r>
            <w:r>
              <w:rPr>
                <w:rFonts w:hAnsi="宋体" w:cs="Times New Roman"/>
                <w:sz w:val="24"/>
                <w:szCs w:val="24"/>
              </w:rPr>
              <w:t xml:space="preserve">（评标基准价</w:t>
            </w:r>
            <w:r>
              <w:rPr>
                <w:rFonts w:cs="Times New Roman"/>
                <w:sz w:val="24"/>
                <w:szCs w:val="24"/>
              </w:rPr>
              <w:t xml:space="preserve">/</w:t>
            </w:r>
            <w:r>
              <w:rPr>
                <w:rFonts w:hAnsi="宋体" w:cs="Times New Roman"/>
                <w:sz w:val="24"/>
                <w:szCs w:val="24"/>
              </w:rPr>
              <w:t xml:space="preserve">其他投标报价）</w:t>
            </w:r>
            <w:r>
              <w:rPr>
                <w:rFonts w:cs="Times New Roman"/>
                <w:sz w:val="24"/>
                <w:szCs w:val="24"/>
              </w:rPr>
              <w:t xml:space="preserve">×25×100%</w:t>
            </w:r>
            <w:r>
              <w:rPr>
                <w:rFonts w:hAnsi="宋体" w:cs="Times New Roman"/>
                <w:sz w:val="24"/>
                <w:szCs w:val="24"/>
              </w:rPr>
              <w:t xml:space="preserve">。</w:t>
            </w:r>
            <w:r/>
          </w:p>
        </w:tc>
      </w:tr>
      <w:tr>
        <w:trPr>
          <w:trHeight w:val="90"/>
        </w:trPr>
        <w:tc>
          <w:tcPr>
            <w:tcW w:w="1375" w:type="dxa"/>
            <w:vAlign w:val="center"/>
            <w:textDirection w:val="lrTb"/>
            <w:noWrap w:val="false"/>
          </w:tcPr>
          <w:p>
            <w:pPr>
              <w:ind w:firstLine="0"/>
              <w:jc w:val="center"/>
              <w:rPr>
                <w:rFonts w:cs="Times New Roman"/>
                <w:b/>
                <w:bCs/>
                <w:sz w:val="24"/>
                <w:szCs w:val="24"/>
              </w:rPr>
            </w:pPr>
            <w:r>
              <w:rPr>
                <w:rFonts w:hAnsi="宋体" w:cs="Times New Roman"/>
                <w:b/>
                <w:bCs/>
                <w:sz w:val="24"/>
                <w:szCs w:val="24"/>
              </w:rPr>
              <w:t xml:space="preserve">项目方案</w:t>
            </w:r>
            <w:r/>
          </w:p>
          <w:p>
            <w:pPr>
              <w:ind w:firstLine="0"/>
              <w:jc w:val="center"/>
              <w:rPr>
                <w:rFonts w:cs="Times New Roman"/>
                <w:b/>
                <w:bCs/>
                <w:sz w:val="24"/>
                <w:szCs w:val="24"/>
              </w:rPr>
            </w:pPr>
            <w:r>
              <w:rPr>
                <w:rFonts w:hAnsi="宋体" w:cs="Times New Roman"/>
                <w:b/>
                <w:bCs/>
                <w:sz w:val="24"/>
                <w:szCs w:val="24"/>
              </w:rPr>
              <w:t xml:space="preserve">（</w:t>
            </w:r>
            <w:r>
              <w:rPr>
                <w:rFonts w:cs="Times New Roman"/>
                <w:b/>
                <w:bCs/>
                <w:sz w:val="24"/>
                <w:szCs w:val="24"/>
              </w:rPr>
              <w:t xml:space="preserve">45</w:t>
            </w:r>
            <w:r>
              <w:rPr>
                <w:rFonts w:hAnsi="宋体" w:cs="Times New Roman"/>
                <w:b/>
                <w:bCs/>
                <w:sz w:val="24"/>
                <w:szCs w:val="24"/>
              </w:rPr>
              <w:t xml:space="preserve">分）</w:t>
            </w:r>
            <w:r/>
          </w:p>
          <w:p>
            <w:pPr>
              <w:ind w:firstLine="0"/>
              <w:jc w:val="center"/>
              <w:rPr>
                <w:rFonts w:cs="Times New Roman"/>
                <w:b/>
                <w:bCs/>
                <w:sz w:val="24"/>
                <w:szCs w:val="24"/>
              </w:rPr>
            </w:pPr>
            <w:r>
              <w:rPr>
                <w:rFonts w:cs="Times New Roman"/>
                <w:b/>
                <w:bCs/>
                <w:sz w:val="24"/>
                <w:szCs w:val="24"/>
              </w:rPr>
            </w:r>
            <w:r/>
          </w:p>
        </w:tc>
        <w:tc>
          <w:tcPr>
            <w:tcW w:w="7624" w:type="dxa"/>
            <w:vAlign w:val="center"/>
            <w:textDirection w:val="lrTb"/>
            <w:noWrap w:val="false"/>
          </w:tcPr>
          <w:p>
            <w:pPr>
              <w:ind w:firstLine="0"/>
              <w:jc w:val="left"/>
              <w:rPr>
                <w:rFonts w:cs="Times New Roman"/>
                <w:b/>
                <w:sz w:val="24"/>
                <w:szCs w:val="24"/>
              </w:rPr>
            </w:pPr>
            <w:r>
              <w:rPr>
                <w:rFonts w:hAnsi="宋体" w:cs="Times New Roman"/>
                <w:b/>
                <w:sz w:val="24"/>
                <w:szCs w:val="24"/>
              </w:rPr>
              <w:t xml:space="preserve">（</w:t>
            </w:r>
            <w:r>
              <w:rPr>
                <w:rFonts w:cs="Times New Roman"/>
                <w:b/>
                <w:sz w:val="24"/>
                <w:szCs w:val="24"/>
              </w:rPr>
              <w:t xml:space="preserve">1</w:t>
            </w:r>
            <w:r>
              <w:rPr>
                <w:rFonts w:hAnsi="宋体" w:cs="Times New Roman"/>
                <w:b/>
                <w:sz w:val="24"/>
                <w:szCs w:val="24"/>
              </w:rPr>
              <w:t xml:space="preserve">）收集、清运服务实施方案（</w:t>
            </w:r>
            <w:r>
              <w:rPr>
                <w:rFonts w:cs="Times New Roman"/>
                <w:b/>
                <w:sz w:val="24"/>
                <w:szCs w:val="24"/>
              </w:rPr>
              <w:t xml:space="preserve">10</w:t>
            </w:r>
            <w:r>
              <w:rPr>
                <w:rFonts w:hAnsi="宋体" w:cs="Times New Roman"/>
                <w:b/>
                <w:sz w:val="24"/>
                <w:szCs w:val="24"/>
              </w:rPr>
              <w:t xml:space="preserve">分）</w:t>
            </w:r>
            <w:r/>
          </w:p>
          <w:p>
            <w:pPr>
              <w:jc w:val="left"/>
              <w:rPr>
                <w:rFonts w:cs="Times New Roman"/>
                <w:bCs/>
                <w:sz w:val="24"/>
                <w:szCs w:val="24"/>
              </w:rPr>
            </w:pPr>
            <w:r>
              <w:rPr>
                <w:rFonts w:cs="Times New Roman"/>
                <w:bCs/>
                <w:sz w:val="24"/>
                <w:szCs w:val="24"/>
              </w:rPr>
              <w:t xml:space="preserve">1</w:t>
            </w:r>
            <w:r>
              <w:rPr>
                <w:rFonts w:hAnsi="宋体" w:cs="Times New Roman"/>
                <w:bCs/>
                <w:sz w:val="24"/>
                <w:szCs w:val="24"/>
              </w:rPr>
              <w:t xml:space="preserve">）收集垃圾的实施方案（</w:t>
            </w:r>
            <w:r>
              <w:rPr>
                <w:rFonts w:cs="Times New Roman"/>
                <w:bCs/>
                <w:sz w:val="24"/>
                <w:szCs w:val="24"/>
              </w:rPr>
              <w:t xml:space="preserve">5</w:t>
            </w:r>
            <w:r>
              <w:rPr>
                <w:rFonts w:hAnsi="宋体" w:cs="Times New Roman"/>
                <w:bCs/>
                <w:sz w:val="24"/>
                <w:szCs w:val="24"/>
              </w:rPr>
              <w:t xml:space="preserve">分）</w:t>
            </w:r>
            <w:r/>
          </w:p>
          <w:p>
            <w:pPr>
              <w:jc w:val="left"/>
              <w:rPr>
                <w:rFonts w:cs="Times New Roman"/>
                <w:bCs/>
                <w:sz w:val="24"/>
                <w:szCs w:val="24"/>
              </w:rPr>
            </w:pPr>
            <w:r>
              <w:rPr>
                <w:rFonts w:hAnsi="宋体" w:cs="Times New Roman"/>
                <w:bCs/>
                <w:sz w:val="24"/>
                <w:szCs w:val="24"/>
              </w:rPr>
              <w:t xml:space="preserve">方案优于招标文件的得</w:t>
            </w:r>
            <w:r>
              <w:rPr>
                <w:rFonts w:cs="Times New Roman"/>
                <w:bCs/>
                <w:sz w:val="24"/>
                <w:szCs w:val="24"/>
              </w:rPr>
              <w:t xml:space="preserve">5</w:t>
            </w:r>
            <w:r>
              <w:rPr>
                <w:rFonts w:hAnsi="宋体" w:cs="Times New Roman"/>
                <w:bCs/>
                <w:sz w:val="24"/>
                <w:szCs w:val="24"/>
              </w:rPr>
              <w:t xml:space="preserve">分；方案符合招标文件得</w:t>
            </w:r>
            <w:r>
              <w:rPr>
                <w:rFonts w:cs="Times New Roman"/>
                <w:bCs/>
                <w:sz w:val="24"/>
                <w:szCs w:val="24"/>
              </w:rPr>
              <w:t xml:space="preserve">3</w:t>
            </w:r>
            <w:r>
              <w:rPr>
                <w:rFonts w:hAnsi="宋体" w:cs="Times New Roman"/>
                <w:bCs/>
                <w:sz w:val="24"/>
                <w:szCs w:val="24"/>
              </w:rPr>
              <w:t xml:space="preserve">分；不符合招标文件或不提供的不得分。</w:t>
            </w:r>
            <w:r/>
          </w:p>
          <w:p>
            <w:pPr>
              <w:jc w:val="left"/>
              <w:rPr>
                <w:rFonts w:cs="Times New Roman"/>
                <w:bCs/>
                <w:sz w:val="24"/>
                <w:szCs w:val="24"/>
              </w:rPr>
            </w:pPr>
            <w:r>
              <w:rPr>
                <w:rFonts w:cs="Times New Roman"/>
                <w:bCs/>
                <w:sz w:val="24"/>
                <w:szCs w:val="24"/>
              </w:rPr>
              <w:t xml:space="preserve">2</w:t>
            </w:r>
            <w:r>
              <w:rPr>
                <w:rFonts w:hAnsi="宋体" w:cs="Times New Roman"/>
                <w:bCs/>
                <w:sz w:val="24"/>
                <w:szCs w:val="24"/>
              </w:rPr>
              <w:t xml:space="preserve">）清运垃圾的实施方案（</w:t>
            </w:r>
            <w:r>
              <w:rPr>
                <w:rFonts w:cs="Times New Roman"/>
                <w:bCs/>
                <w:sz w:val="24"/>
                <w:szCs w:val="24"/>
              </w:rPr>
              <w:t xml:space="preserve">5</w:t>
            </w:r>
            <w:r>
              <w:rPr>
                <w:rFonts w:hAnsi="宋体" w:cs="Times New Roman"/>
                <w:bCs/>
                <w:sz w:val="24"/>
                <w:szCs w:val="24"/>
              </w:rPr>
              <w:t xml:space="preserve">分）</w:t>
            </w:r>
            <w:r/>
          </w:p>
          <w:p>
            <w:pPr>
              <w:jc w:val="left"/>
              <w:rPr>
                <w:rFonts w:cs="Times New Roman"/>
                <w:bCs/>
                <w:sz w:val="24"/>
                <w:szCs w:val="24"/>
              </w:rPr>
            </w:pPr>
            <w:r>
              <w:rPr>
                <w:rFonts w:hAnsi="宋体" w:cs="Times New Roman"/>
                <w:bCs/>
                <w:sz w:val="24"/>
                <w:szCs w:val="24"/>
              </w:rPr>
              <w:t xml:space="preserve">方案优于招标文件的得</w:t>
            </w:r>
            <w:r>
              <w:rPr>
                <w:rFonts w:cs="Times New Roman"/>
                <w:bCs/>
                <w:sz w:val="24"/>
                <w:szCs w:val="24"/>
              </w:rPr>
              <w:t xml:space="preserve">5</w:t>
            </w:r>
            <w:r>
              <w:rPr>
                <w:rFonts w:hAnsi="宋体" w:cs="Times New Roman"/>
                <w:bCs/>
                <w:sz w:val="24"/>
                <w:szCs w:val="24"/>
              </w:rPr>
              <w:t xml:space="preserve">分；方案符合招标文件得</w:t>
            </w:r>
            <w:r>
              <w:rPr>
                <w:rFonts w:cs="Times New Roman"/>
                <w:bCs/>
                <w:sz w:val="24"/>
                <w:szCs w:val="24"/>
              </w:rPr>
              <w:t xml:space="preserve">3</w:t>
            </w:r>
            <w:r>
              <w:rPr>
                <w:rFonts w:hAnsi="宋体" w:cs="Times New Roman"/>
                <w:bCs/>
                <w:sz w:val="24"/>
                <w:szCs w:val="24"/>
              </w:rPr>
              <w:t xml:space="preserve">分；不符合招标文件或不提供的不得分。</w:t>
            </w:r>
            <w:r/>
          </w:p>
          <w:p>
            <w:pPr>
              <w:ind w:firstLine="0"/>
              <w:jc w:val="left"/>
              <w:rPr>
                <w:rFonts w:cs="Times New Roman"/>
                <w:b/>
                <w:sz w:val="24"/>
                <w:szCs w:val="24"/>
              </w:rPr>
            </w:pPr>
            <w:r>
              <w:rPr>
                <w:rFonts w:hAnsi="宋体" w:cs="Times New Roman"/>
                <w:b/>
                <w:sz w:val="24"/>
                <w:szCs w:val="24"/>
              </w:rPr>
              <w:t xml:space="preserve">（</w:t>
            </w:r>
            <w:r>
              <w:rPr>
                <w:rFonts w:cs="Times New Roman"/>
                <w:b/>
                <w:sz w:val="24"/>
                <w:szCs w:val="24"/>
              </w:rPr>
              <w:t xml:space="preserve">2</w:t>
            </w:r>
            <w:r>
              <w:rPr>
                <w:rFonts w:hAnsi="宋体" w:cs="Times New Roman"/>
                <w:b/>
                <w:sz w:val="24"/>
                <w:szCs w:val="24"/>
              </w:rPr>
              <w:t xml:space="preserve">）拆除、装修垃圾处理方案（</w:t>
            </w:r>
            <w:r>
              <w:rPr>
                <w:rFonts w:cs="Times New Roman"/>
                <w:b/>
                <w:sz w:val="24"/>
                <w:szCs w:val="24"/>
              </w:rPr>
              <w:t xml:space="preserve">12</w:t>
            </w:r>
            <w:r>
              <w:rPr>
                <w:rFonts w:hAnsi="宋体" w:cs="Times New Roman"/>
                <w:b/>
                <w:sz w:val="24"/>
                <w:szCs w:val="24"/>
              </w:rPr>
              <w:t xml:space="preserve">分）</w:t>
            </w:r>
            <w:r/>
          </w:p>
          <w:p>
            <w:pPr>
              <w:jc w:val="left"/>
              <w:rPr>
                <w:rFonts w:cs="Times New Roman"/>
                <w:bCs/>
                <w:sz w:val="24"/>
                <w:szCs w:val="24"/>
              </w:rPr>
            </w:pPr>
            <w:r>
              <w:rPr>
                <w:rFonts w:cs="Times New Roman"/>
                <w:bCs/>
                <w:sz w:val="24"/>
                <w:szCs w:val="24"/>
              </w:rPr>
              <w:t xml:space="preserve">1</w:t>
            </w:r>
            <w:r>
              <w:rPr>
                <w:rFonts w:hAnsi="宋体" w:cs="Times New Roman"/>
                <w:bCs/>
                <w:sz w:val="24"/>
                <w:szCs w:val="24"/>
              </w:rPr>
              <w:t xml:space="preserve">）拆除、装修垃圾分拣工艺（</w:t>
            </w:r>
            <w:r>
              <w:rPr>
                <w:rFonts w:cs="Times New Roman"/>
                <w:bCs/>
                <w:sz w:val="24"/>
                <w:szCs w:val="24"/>
              </w:rPr>
              <w:t xml:space="preserve">5</w:t>
            </w:r>
            <w:r>
              <w:rPr>
                <w:rFonts w:hAnsi="宋体" w:cs="Times New Roman"/>
                <w:bCs/>
                <w:sz w:val="24"/>
                <w:szCs w:val="24"/>
              </w:rPr>
              <w:t xml:space="preserve">分）</w:t>
            </w:r>
            <w:r/>
          </w:p>
          <w:p>
            <w:pPr>
              <w:jc w:val="left"/>
              <w:rPr>
                <w:rFonts w:cs="Times New Roman"/>
                <w:bCs/>
                <w:sz w:val="24"/>
                <w:szCs w:val="24"/>
              </w:rPr>
            </w:pPr>
            <w:r>
              <w:rPr>
                <w:rFonts w:hAnsi="宋体" w:cs="Times New Roman"/>
                <w:bCs/>
                <w:sz w:val="24"/>
                <w:szCs w:val="24"/>
              </w:rPr>
              <w:t xml:space="preserve">方案优于招标文件的得</w:t>
            </w:r>
            <w:r>
              <w:rPr>
                <w:rFonts w:cs="Times New Roman"/>
                <w:bCs/>
                <w:sz w:val="24"/>
                <w:szCs w:val="24"/>
              </w:rPr>
              <w:t xml:space="preserve">5</w:t>
            </w:r>
            <w:r>
              <w:rPr>
                <w:rFonts w:hAnsi="宋体" w:cs="Times New Roman"/>
                <w:bCs/>
                <w:sz w:val="24"/>
                <w:szCs w:val="24"/>
              </w:rPr>
              <w:t xml:space="preserve">分；方案符合招标文件得</w:t>
            </w:r>
            <w:r>
              <w:rPr>
                <w:rFonts w:cs="Times New Roman"/>
                <w:bCs/>
                <w:sz w:val="24"/>
                <w:szCs w:val="24"/>
              </w:rPr>
              <w:t xml:space="preserve">3</w:t>
            </w:r>
            <w:r>
              <w:rPr>
                <w:rFonts w:hAnsi="宋体" w:cs="Times New Roman"/>
                <w:bCs/>
                <w:sz w:val="24"/>
                <w:szCs w:val="24"/>
              </w:rPr>
              <w:t xml:space="preserve">分；不符合或不提供的不得分。</w:t>
            </w:r>
            <w:r/>
          </w:p>
          <w:p>
            <w:pPr>
              <w:jc w:val="left"/>
              <w:rPr>
                <w:rFonts w:cs="Times New Roman"/>
                <w:bCs/>
                <w:sz w:val="24"/>
                <w:szCs w:val="24"/>
              </w:rPr>
            </w:pPr>
            <w:r>
              <w:rPr>
                <w:rFonts w:cs="Times New Roman"/>
                <w:bCs/>
                <w:sz w:val="24"/>
                <w:szCs w:val="24"/>
              </w:rPr>
              <w:t xml:space="preserve">2</w:t>
            </w:r>
            <w:r>
              <w:rPr>
                <w:rFonts w:hAnsi="宋体" w:cs="Times New Roman"/>
                <w:bCs/>
                <w:sz w:val="24"/>
                <w:szCs w:val="24"/>
              </w:rPr>
              <w:t xml:space="preserve">）拆除、装修垃圾处理工艺（</w:t>
            </w:r>
            <w:r>
              <w:rPr>
                <w:rFonts w:cs="Times New Roman"/>
                <w:bCs/>
                <w:sz w:val="24"/>
                <w:szCs w:val="24"/>
              </w:rPr>
              <w:t xml:space="preserve">4</w:t>
            </w:r>
            <w:r>
              <w:rPr>
                <w:rFonts w:hAnsi="宋体" w:cs="Times New Roman"/>
                <w:bCs/>
                <w:sz w:val="24"/>
                <w:szCs w:val="24"/>
              </w:rPr>
              <w:t xml:space="preserve">分）</w:t>
            </w:r>
            <w:r/>
          </w:p>
          <w:p>
            <w:pPr>
              <w:jc w:val="left"/>
              <w:rPr>
                <w:rFonts w:cs="Times New Roman"/>
                <w:bCs/>
                <w:sz w:val="24"/>
                <w:szCs w:val="24"/>
              </w:rPr>
            </w:pPr>
            <w:r>
              <w:rPr>
                <w:rFonts w:hAnsi="宋体" w:cs="Times New Roman"/>
                <w:bCs/>
                <w:sz w:val="24"/>
                <w:szCs w:val="24"/>
              </w:rPr>
              <w:t xml:space="preserve">方案优于招标文件的得</w:t>
            </w:r>
            <w:r>
              <w:rPr>
                <w:rFonts w:cs="Times New Roman"/>
                <w:bCs/>
                <w:sz w:val="24"/>
                <w:szCs w:val="24"/>
              </w:rPr>
              <w:t xml:space="preserve">4</w:t>
            </w:r>
            <w:r>
              <w:rPr>
                <w:rFonts w:hAnsi="宋体" w:cs="Times New Roman"/>
                <w:bCs/>
                <w:sz w:val="24"/>
                <w:szCs w:val="24"/>
              </w:rPr>
              <w:t xml:space="preserve">分；方案符合招标文件得</w:t>
            </w:r>
            <w:r>
              <w:rPr>
                <w:rFonts w:cs="Times New Roman"/>
                <w:bCs/>
                <w:sz w:val="24"/>
                <w:szCs w:val="24"/>
              </w:rPr>
              <w:t xml:space="preserve">2</w:t>
            </w:r>
            <w:r>
              <w:rPr>
                <w:rFonts w:hAnsi="宋体" w:cs="Times New Roman"/>
                <w:bCs/>
                <w:sz w:val="24"/>
                <w:szCs w:val="24"/>
              </w:rPr>
              <w:t xml:space="preserve">分；不符合招标文件或不提供的不得分。</w:t>
            </w:r>
            <w:r/>
          </w:p>
          <w:p>
            <w:pPr>
              <w:jc w:val="left"/>
              <w:rPr>
                <w:rFonts w:cs="Times New Roman"/>
                <w:bCs/>
                <w:sz w:val="24"/>
                <w:szCs w:val="24"/>
              </w:rPr>
            </w:pPr>
            <w:r>
              <w:rPr>
                <w:rFonts w:cs="Times New Roman"/>
                <w:bCs/>
                <w:sz w:val="24"/>
                <w:szCs w:val="24"/>
              </w:rPr>
              <w:t xml:space="preserve">3</w:t>
            </w:r>
            <w:r>
              <w:rPr>
                <w:rFonts w:hAnsi="宋体" w:cs="Times New Roman"/>
                <w:bCs/>
                <w:sz w:val="24"/>
                <w:szCs w:val="24"/>
              </w:rPr>
              <w:t xml:space="preserve">）拆除方案</w:t>
            </w:r>
            <w:r>
              <w:rPr>
                <w:rFonts w:cs="Times New Roman"/>
                <w:bCs/>
                <w:sz w:val="24"/>
                <w:szCs w:val="24"/>
              </w:rPr>
              <w:t xml:space="preserve">(3</w:t>
            </w:r>
            <w:r>
              <w:rPr>
                <w:rFonts w:hAnsi="宋体" w:cs="Times New Roman"/>
                <w:bCs/>
                <w:sz w:val="24"/>
                <w:szCs w:val="24"/>
              </w:rPr>
              <w:t xml:space="preserve">分</w:t>
            </w:r>
            <w:r>
              <w:rPr>
                <w:rFonts w:cs="Times New Roman"/>
                <w:bCs/>
                <w:sz w:val="24"/>
                <w:szCs w:val="24"/>
              </w:rPr>
              <w:t xml:space="preserve">)</w:t>
            </w:r>
            <w:r/>
          </w:p>
          <w:p>
            <w:pPr>
              <w:jc w:val="left"/>
              <w:rPr>
                <w:rFonts w:cs="Times New Roman"/>
                <w:bCs/>
                <w:sz w:val="24"/>
                <w:szCs w:val="24"/>
              </w:rPr>
            </w:pPr>
            <w:r>
              <w:rPr>
                <w:rFonts w:hAnsi="宋体" w:cs="Times New Roman"/>
                <w:bCs/>
                <w:sz w:val="24"/>
                <w:szCs w:val="24"/>
              </w:rPr>
              <w:t xml:space="preserve">方案优于招标文件的得</w:t>
            </w:r>
            <w:r>
              <w:rPr>
                <w:rFonts w:cs="Times New Roman"/>
                <w:bCs/>
                <w:sz w:val="24"/>
                <w:szCs w:val="24"/>
              </w:rPr>
              <w:t xml:space="preserve">3</w:t>
            </w:r>
            <w:r>
              <w:rPr>
                <w:rFonts w:hAnsi="宋体" w:cs="Times New Roman"/>
                <w:bCs/>
                <w:sz w:val="24"/>
                <w:szCs w:val="24"/>
              </w:rPr>
              <w:t xml:space="preserve">分；方案符合招标文件得</w:t>
            </w:r>
            <w:r>
              <w:rPr>
                <w:rFonts w:cs="Times New Roman"/>
                <w:bCs/>
                <w:sz w:val="24"/>
                <w:szCs w:val="24"/>
              </w:rPr>
              <w:t xml:space="preserve">1</w:t>
            </w:r>
            <w:r>
              <w:rPr>
                <w:rFonts w:hAnsi="宋体" w:cs="Times New Roman"/>
                <w:bCs/>
                <w:sz w:val="24"/>
                <w:szCs w:val="24"/>
              </w:rPr>
              <w:t xml:space="preserve">分；不符合招标文件或不提供的不得分。</w:t>
            </w:r>
            <w:r/>
          </w:p>
          <w:p>
            <w:pPr>
              <w:ind w:firstLine="0"/>
              <w:jc w:val="left"/>
              <w:rPr>
                <w:rFonts w:cs="Times New Roman"/>
                <w:b/>
                <w:sz w:val="24"/>
                <w:szCs w:val="24"/>
              </w:rPr>
            </w:pPr>
            <w:r>
              <w:rPr>
                <w:rFonts w:hAnsi="宋体" w:cs="Times New Roman"/>
                <w:b/>
                <w:sz w:val="24"/>
                <w:szCs w:val="24"/>
              </w:rPr>
              <w:t xml:space="preserve">（</w:t>
            </w:r>
            <w:r>
              <w:rPr>
                <w:rFonts w:cs="Times New Roman"/>
                <w:b/>
                <w:sz w:val="24"/>
                <w:szCs w:val="24"/>
              </w:rPr>
              <w:t xml:space="preserve">3</w:t>
            </w:r>
            <w:r>
              <w:rPr>
                <w:rFonts w:hAnsi="宋体" w:cs="Times New Roman"/>
                <w:b/>
                <w:sz w:val="24"/>
                <w:szCs w:val="24"/>
              </w:rPr>
              <w:t xml:space="preserve">）拆除、装修垃圾资源化利用方案（</w:t>
            </w:r>
            <w:r>
              <w:rPr>
                <w:rFonts w:cs="Times New Roman"/>
                <w:b/>
                <w:sz w:val="24"/>
                <w:szCs w:val="24"/>
              </w:rPr>
              <w:t xml:space="preserve">10</w:t>
            </w:r>
            <w:r>
              <w:rPr>
                <w:rFonts w:hAnsi="宋体" w:cs="Times New Roman"/>
                <w:b/>
                <w:sz w:val="24"/>
                <w:szCs w:val="24"/>
              </w:rPr>
              <w:t xml:space="preserve">分）</w:t>
            </w:r>
            <w:r/>
          </w:p>
          <w:p>
            <w:pPr>
              <w:jc w:val="left"/>
              <w:rPr>
                <w:rFonts w:cs="Times New Roman"/>
                <w:bCs/>
                <w:sz w:val="24"/>
                <w:szCs w:val="24"/>
              </w:rPr>
            </w:pPr>
            <w:r>
              <w:rPr>
                <w:rFonts w:cs="Times New Roman"/>
                <w:bCs/>
                <w:sz w:val="24"/>
                <w:szCs w:val="24"/>
              </w:rPr>
              <w:t xml:space="preserve">1</w:t>
            </w:r>
            <w:r>
              <w:rPr>
                <w:rFonts w:hAnsi="宋体" w:cs="Times New Roman"/>
                <w:bCs/>
                <w:sz w:val="24"/>
                <w:szCs w:val="24"/>
              </w:rPr>
              <w:t xml:space="preserve">）拆除、装修垃圾再生利用处理方案（</w:t>
            </w:r>
            <w:r>
              <w:rPr>
                <w:rFonts w:cs="Times New Roman"/>
                <w:bCs/>
                <w:sz w:val="24"/>
                <w:szCs w:val="24"/>
              </w:rPr>
              <w:t xml:space="preserve">5</w:t>
            </w:r>
            <w:r>
              <w:rPr>
                <w:rFonts w:hAnsi="宋体" w:cs="Times New Roman"/>
                <w:bCs/>
                <w:sz w:val="24"/>
                <w:szCs w:val="24"/>
              </w:rPr>
              <w:t xml:space="preserve">分）</w:t>
            </w:r>
            <w:r/>
          </w:p>
          <w:p>
            <w:pPr>
              <w:jc w:val="left"/>
              <w:rPr>
                <w:rFonts w:cs="Times New Roman"/>
                <w:bCs/>
                <w:sz w:val="24"/>
                <w:szCs w:val="24"/>
              </w:rPr>
            </w:pPr>
            <w:r>
              <w:rPr>
                <w:rFonts w:hAnsi="宋体" w:cs="Times New Roman"/>
                <w:bCs/>
                <w:sz w:val="24"/>
                <w:szCs w:val="24"/>
              </w:rPr>
              <w:t xml:space="preserve">方案优于招标文件的得</w:t>
            </w:r>
            <w:r>
              <w:rPr>
                <w:rFonts w:cs="Times New Roman"/>
                <w:bCs/>
                <w:sz w:val="24"/>
                <w:szCs w:val="24"/>
              </w:rPr>
              <w:t xml:space="preserve">5</w:t>
            </w:r>
            <w:r>
              <w:rPr>
                <w:rFonts w:hAnsi="宋体" w:cs="Times New Roman"/>
                <w:bCs/>
                <w:sz w:val="24"/>
                <w:szCs w:val="24"/>
              </w:rPr>
              <w:t xml:space="preserve">分；方案符合招标文件得</w:t>
            </w:r>
            <w:r>
              <w:rPr>
                <w:rFonts w:cs="Times New Roman"/>
                <w:bCs/>
                <w:sz w:val="24"/>
                <w:szCs w:val="24"/>
              </w:rPr>
              <w:t xml:space="preserve">3</w:t>
            </w:r>
            <w:r>
              <w:rPr>
                <w:rFonts w:hAnsi="宋体" w:cs="Times New Roman"/>
                <w:bCs/>
                <w:sz w:val="24"/>
                <w:szCs w:val="24"/>
              </w:rPr>
              <w:t xml:space="preserve">分；不符合招标文件或不提供的不得分。</w:t>
            </w:r>
            <w:r/>
          </w:p>
          <w:p>
            <w:pPr>
              <w:jc w:val="left"/>
              <w:rPr>
                <w:rFonts w:cs="Times New Roman"/>
                <w:bCs/>
                <w:sz w:val="24"/>
                <w:szCs w:val="24"/>
              </w:rPr>
            </w:pPr>
            <w:r>
              <w:rPr>
                <w:rFonts w:cs="Times New Roman"/>
                <w:bCs/>
                <w:sz w:val="24"/>
                <w:szCs w:val="24"/>
              </w:rPr>
              <w:t xml:space="preserve">2</w:t>
            </w:r>
            <w:r>
              <w:rPr>
                <w:rFonts w:hAnsi="宋体" w:cs="Times New Roman"/>
                <w:bCs/>
                <w:sz w:val="24"/>
                <w:szCs w:val="24"/>
              </w:rPr>
              <w:t xml:space="preserve">）拆除、装修垃圾再生利用运营维护方案（</w:t>
            </w:r>
            <w:r>
              <w:rPr>
                <w:rFonts w:cs="Times New Roman"/>
                <w:bCs/>
                <w:sz w:val="24"/>
                <w:szCs w:val="24"/>
              </w:rPr>
              <w:t xml:space="preserve">5</w:t>
            </w:r>
            <w:r>
              <w:rPr>
                <w:rFonts w:hAnsi="宋体" w:cs="Times New Roman"/>
                <w:bCs/>
                <w:sz w:val="24"/>
                <w:szCs w:val="24"/>
              </w:rPr>
              <w:t xml:space="preserve">分）</w:t>
            </w:r>
            <w:r/>
          </w:p>
          <w:p>
            <w:pPr>
              <w:jc w:val="left"/>
              <w:rPr>
                <w:rFonts w:cs="Times New Roman"/>
                <w:bCs/>
                <w:sz w:val="24"/>
                <w:szCs w:val="24"/>
              </w:rPr>
            </w:pPr>
            <w:r>
              <w:rPr>
                <w:rFonts w:hAnsi="宋体" w:cs="Times New Roman"/>
                <w:bCs/>
                <w:sz w:val="24"/>
                <w:szCs w:val="24"/>
              </w:rPr>
              <w:t xml:space="preserve">方案优于招标文件的得</w:t>
            </w:r>
            <w:r>
              <w:rPr>
                <w:rFonts w:cs="Times New Roman"/>
                <w:bCs/>
                <w:sz w:val="24"/>
                <w:szCs w:val="24"/>
              </w:rPr>
              <w:t xml:space="preserve">5</w:t>
            </w:r>
            <w:r>
              <w:rPr>
                <w:rFonts w:hAnsi="宋体" w:cs="Times New Roman"/>
                <w:bCs/>
                <w:sz w:val="24"/>
                <w:szCs w:val="24"/>
              </w:rPr>
              <w:t xml:space="preserve">分；方案符合招标文件得</w:t>
            </w:r>
            <w:r>
              <w:rPr>
                <w:rFonts w:cs="Times New Roman"/>
                <w:bCs/>
                <w:sz w:val="24"/>
                <w:szCs w:val="24"/>
              </w:rPr>
              <w:t xml:space="preserve">3</w:t>
            </w:r>
            <w:r>
              <w:rPr>
                <w:rFonts w:hAnsi="宋体" w:cs="Times New Roman"/>
                <w:bCs/>
                <w:sz w:val="24"/>
                <w:szCs w:val="24"/>
              </w:rPr>
              <w:t xml:space="preserve">分；不符合招标文件或不提供的不得分。</w:t>
            </w:r>
            <w:r/>
          </w:p>
          <w:p>
            <w:pPr>
              <w:ind w:firstLine="0"/>
              <w:jc w:val="left"/>
              <w:rPr>
                <w:rFonts w:cs="Times New Roman"/>
                <w:b/>
                <w:sz w:val="24"/>
                <w:szCs w:val="24"/>
              </w:rPr>
            </w:pPr>
            <w:r>
              <w:rPr>
                <w:rFonts w:hAnsi="宋体" w:cs="Times New Roman"/>
                <w:b/>
                <w:sz w:val="24"/>
                <w:szCs w:val="24"/>
              </w:rPr>
              <w:t xml:space="preserve">（</w:t>
            </w:r>
            <w:r>
              <w:rPr>
                <w:rFonts w:cs="Times New Roman"/>
                <w:b/>
                <w:sz w:val="24"/>
                <w:szCs w:val="24"/>
              </w:rPr>
              <w:t xml:space="preserve">4</w:t>
            </w:r>
            <w:r>
              <w:rPr>
                <w:rFonts w:hAnsi="宋体" w:cs="Times New Roman"/>
                <w:b/>
                <w:sz w:val="24"/>
                <w:szCs w:val="24"/>
              </w:rPr>
              <w:t xml:space="preserve">）收集、清运工作的安全保证措施（</w:t>
            </w:r>
            <w:r>
              <w:rPr>
                <w:rFonts w:cs="Times New Roman"/>
                <w:b/>
                <w:sz w:val="24"/>
                <w:szCs w:val="24"/>
              </w:rPr>
              <w:t xml:space="preserve">5</w:t>
            </w:r>
            <w:r>
              <w:rPr>
                <w:rFonts w:hAnsi="宋体" w:cs="Times New Roman"/>
                <w:b/>
                <w:sz w:val="24"/>
                <w:szCs w:val="24"/>
              </w:rPr>
              <w:t xml:space="preserve">分）</w:t>
            </w:r>
            <w:r/>
          </w:p>
          <w:p>
            <w:pPr>
              <w:jc w:val="left"/>
              <w:rPr>
                <w:rFonts w:cs="Times New Roman"/>
                <w:bCs/>
                <w:sz w:val="24"/>
                <w:szCs w:val="24"/>
              </w:rPr>
            </w:pPr>
            <w:r>
              <w:rPr>
                <w:rFonts w:hAnsi="宋体" w:cs="Times New Roman"/>
                <w:bCs/>
                <w:sz w:val="24"/>
                <w:szCs w:val="24"/>
              </w:rPr>
              <w:t xml:space="preserve">措施优于招标文件的得</w:t>
            </w:r>
            <w:r>
              <w:rPr>
                <w:rFonts w:cs="Times New Roman"/>
                <w:bCs/>
                <w:sz w:val="24"/>
                <w:szCs w:val="24"/>
              </w:rPr>
              <w:t xml:space="preserve">5</w:t>
            </w:r>
            <w:r>
              <w:rPr>
                <w:rFonts w:hAnsi="宋体" w:cs="Times New Roman"/>
                <w:bCs/>
                <w:sz w:val="24"/>
                <w:szCs w:val="24"/>
              </w:rPr>
              <w:t xml:space="preserve">分；措施符合招标文件得</w:t>
            </w:r>
            <w:r>
              <w:rPr>
                <w:rFonts w:cs="Times New Roman"/>
                <w:bCs/>
                <w:sz w:val="24"/>
                <w:szCs w:val="24"/>
              </w:rPr>
              <w:t xml:space="preserve">3</w:t>
            </w:r>
            <w:r>
              <w:rPr>
                <w:rFonts w:hAnsi="宋体" w:cs="Times New Roman"/>
                <w:bCs/>
                <w:sz w:val="24"/>
                <w:szCs w:val="24"/>
              </w:rPr>
              <w:t xml:space="preserve">分；不符合招标文件或不提供的不得分。</w:t>
            </w:r>
            <w:r/>
          </w:p>
          <w:p>
            <w:pPr>
              <w:ind w:firstLine="0"/>
              <w:jc w:val="left"/>
              <w:rPr>
                <w:rFonts w:cs="Times New Roman"/>
                <w:b/>
                <w:sz w:val="24"/>
                <w:szCs w:val="24"/>
              </w:rPr>
            </w:pPr>
            <w:r>
              <w:rPr>
                <w:rFonts w:hAnsi="宋体" w:cs="Times New Roman"/>
                <w:b/>
                <w:sz w:val="24"/>
                <w:szCs w:val="24"/>
              </w:rPr>
              <w:t xml:space="preserve">（</w:t>
            </w:r>
            <w:r>
              <w:rPr>
                <w:rFonts w:cs="Times New Roman"/>
                <w:b/>
                <w:sz w:val="24"/>
                <w:szCs w:val="24"/>
              </w:rPr>
              <w:t xml:space="preserve">5</w:t>
            </w:r>
            <w:r>
              <w:rPr>
                <w:rFonts w:hAnsi="宋体" w:cs="Times New Roman"/>
                <w:b/>
                <w:sz w:val="24"/>
                <w:szCs w:val="24"/>
              </w:rPr>
              <w:t xml:space="preserve">）环境保护及突发应急方案（</w:t>
            </w:r>
            <w:r>
              <w:rPr>
                <w:rFonts w:cs="Times New Roman"/>
                <w:b/>
                <w:sz w:val="24"/>
                <w:szCs w:val="24"/>
              </w:rPr>
              <w:t xml:space="preserve">5</w:t>
            </w:r>
            <w:r>
              <w:rPr>
                <w:rFonts w:hAnsi="宋体" w:cs="Times New Roman"/>
                <w:b/>
                <w:sz w:val="24"/>
                <w:szCs w:val="24"/>
              </w:rPr>
              <w:t xml:space="preserve">分）</w:t>
            </w:r>
            <w:r/>
          </w:p>
          <w:p>
            <w:pPr>
              <w:jc w:val="left"/>
              <w:rPr>
                <w:rFonts w:cs="Times New Roman"/>
                <w:bCs/>
                <w:sz w:val="24"/>
                <w:szCs w:val="24"/>
              </w:rPr>
            </w:pPr>
            <w:r>
              <w:rPr>
                <w:rFonts w:hAnsi="宋体" w:cs="Times New Roman"/>
                <w:bCs/>
                <w:sz w:val="24"/>
                <w:szCs w:val="24"/>
              </w:rPr>
              <w:t xml:space="preserve">方案优于招标文件的得</w:t>
            </w:r>
            <w:r>
              <w:rPr>
                <w:rFonts w:cs="Times New Roman"/>
                <w:bCs/>
                <w:sz w:val="24"/>
                <w:szCs w:val="24"/>
              </w:rPr>
              <w:t xml:space="preserve">5</w:t>
            </w:r>
            <w:r>
              <w:rPr>
                <w:rFonts w:hAnsi="宋体" w:cs="Times New Roman"/>
                <w:bCs/>
                <w:sz w:val="24"/>
                <w:szCs w:val="24"/>
              </w:rPr>
              <w:t xml:space="preserve">分；方案符合招标文件得</w:t>
            </w:r>
            <w:r>
              <w:rPr>
                <w:rFonts w:cs="Times New Roman"/>
                <w:bCs/>
                <w:sz w:val="24"/>
                <w:szCs w:val="24"/>
              </w:rPr>
              <w:t xml:space="preserve">3</w:t>
            </w:r>
            <w:r>
              <w:rPr>
                <w:rFonts w:hAnsi="宋体" w:cs="Times New Roman"/>
                <w:bCs/>
                <w:sz w:val="24"/>
                <w:szCs w:val="24"/>
              </w:rPr>
              <w:t xml:space="preserve">分；不符合招标文件或不提供的不得分。</w:t>
            </w:r>
            <w:r/>
          </w:p>
          <w:p>
            <w:pPr>
              <w:ind w:firstLine="0"/>
              <w:jc w:val="left"/>
              <w:rPr>
                <w:rFonts w:cs="Times New Roman"/>
                <w:b/>
                <w:sz w:val="24"/>
                <w:szCs w:val="24"/>
              </w:rPr>
            </w:pPr>
            <w:r>
              <w:rPr>
                <w:rFonts w:hAnsi="宋体" w:cs="Times New Roman"/>
                <w:b/>
                <w:sz w:val="24"/>
                <w:szCs w:val="24"/>
              </w:rPr>
              <w:t xml:space="preserve">（</w:t>
            </w:r>
            <w:r>
              <w:rPr>
                <w:rFonts w:cs="Times New Roman"/>
                <w:b/>
                <w:sz w:val="24"/>
                <w:szCs w:val="24"/>
              </w:rPr>
              <w:t xml:space="preserve">6</w:t>
            </w:r>
            <w:r>
              <w:rPr>
                <w:rFonts w:hAnsi="宋体" w:cs="Times New Roman"/>
                <w:b/>
                <w:sz w:val="24"/>
                <w:szCs w:val="24"/>
              </w:rPr>
              <w:t xml:space="preserve">）服务响应措施及服务质量保证措施（</w:t>
            </w:r>
            <w:r>
              <w:rPr>
                <w:rFonts w:cs="Times New Roman"/>
                <w:b/>
                <w:sz w:val="24"/>
                <w:szCs w:val="24"/>
              </w:rPr>
              <w:t xml:space="preserve">3</w:t>
            </w:r>
            <w:r>
              <w:rPr>
                <w:rFonts w:hAnsi="宋体" w:cs="Times New Roman"/>
                <w:b/>
                <w:sz w:val="24"/>
                <w:szCs w:val="24"/>
              </w:rPr>
              <w:t xml:space="preserve">分）</w:t>
            </w:r>
            <w:r/>
          </w:p>
          <w:p>
            <w:pPr>
              <w:jc w:val="left"/>
              <w:rPr>
                <w:rFonts w:cs="Times New Roman"/>
                <w:sz w:val="24"/>
                <w:szCs w:val="24"/>
              </w:rPr>
            </w:pPr>
            <w:r>
              <w:rPr>
                <w:rFonts w:hAnsi="宋体" w:cs="Times New Roman"/>
                <w:bCs/>
                <w:sz w:val="24"/>
                <w:szCs w:val="24"/>
              </w:rPr>
              <w:t xml:space="preserve">措施优于招标文件的得</w:t>
            </w:r>
            <w:r>
              <w:rPr>
                <w:rFonts w:cs="Times New Roman"/>
                <w:bCs/>
                <w:sz w:val="24"/>
                <w:szCs w:val="24"/>
              </w:rPr>
              <w:t xml:space="preserve">3</w:t>
            </w:r>
            <w:r>
              <w:rPr>
                <w:rFonts w:hAnsi="宋体" w:cs="Times New Roman"/>
                <w:bCs/>
                <w:sz w:val="24"/>
                <w:szCs w:val="24"/>
              </w:rPr>
              <w:t xml:space="preserve">分；措施符合招标文件得</w:t>
            </w:r>
            <w:r>
              <w:rPr>
                <w:rFonts w:cs="Times New Roman"/>
                <w:bCs/>
                <w:sz w:val="24"/>
                <w:szCs w:val="24"/>
              </w:rPr>
              <w:t xml:space="preserve">1</w:t>
            </w:r>
            <w:r>
              <w:rPr>
                <w:rFonts w:hAnsi="宋体" w:cs="Times New Roman"/>
                <w:bCs/>
                <w:sz w:val="24"/>
                <w:szCs w:val="24"/>
              </w:rPr>
              <w:t xml:space="preserve">分；不符合招标文件或不提供的不得分。</w:t>
            </w:r>
            <w:r/>
          </w:p>
        </w:tc>
      </w:tr>
      <w:tr>
        <w:trPr>
          <w:trHeight w:val="1408"/>
        </w:trPr>
        <w:tc>
          <w:tcPr>
            <w:tcW w:w="1375" w:type="dxa"/>
            <w:vAlign w:val="center"/>
            <w:textDirection w:val="lrTb"/>
            <w:noWrap w:val="false"/>
          </w:tcPr>
          <w:p>
            <w:pPr>
              <w:ind w:firstLine="0"/>
              <w:jc w:val="center"/>
              <w:rPr>
                <w:rFonts w:cs="Times New Roman"/>
                <w:b/>
                <w:bCs/>
                <w:sz w:val="24"/>
                <w:szCs w:val="24"/>
              </w:rPr>
            </w:pPr>
            <w:r>
              <w:rPr>
                <w:rFonts w:hAnsi="宋体" w:cs="Times New Roman"/>
                <w:b/>
                <w:bCs/>
                <w:sz w:val="24"/>
                <w:szCs w:val="24"/>
              </w:rPr>
              <w:t xml:space="preserve">履约能力</w:t>
            </w:r>
            <w:r/>
          </w:p>
          <w:p>
            <w:pPr>
              <w:ind w:firstLine="0"/>
              <w:jc w:val="center"/>
              <w:rPr>
                <w:rFonts w:cs="Times New Roman"/>
                <w:sz w:val="24"/>
                <w:szCs w:val="24"/>
              </w:rPr>
            </w:pPr>
            <w:r>
              <w:rPr>
                <w:rFonts w:hAnsi="宋体" w:cs="Times New Roman"/>
                <w:b/>
                <w:bCs/>
                <w:sz w:val="24"/>
                <w:szCs w:val="24"/>
              </w:rPr>
              <w:t xml:space="preserve">（</w:t>
            </w:r>
            <w:r>
              <w:rPr>
                <w:rFonts w:cs="Times New Roman"/>
                <w:b/>
                <w:bCs/>
                <w:sz w:val="24"/>
                <w:szCs w:val="24"/>
              </w:rPr>
              <w:t xml:space="preserve">12</w:t>
            </w:r>
            <w:r>
              <w:rPr>
                <w:rFonts w:hAnsi="宋体" w:cs="Times New Roman"/>
                <w:b/>
                <w:bCs/>
                <w:sz w:val="24"/>
                <w:szCs w:val="24"/>
              </w:rPr>
              <w:t xml:space="preserve">分）</w:t>
            </w:r>
            <w:r/>
          </w:p>
        </w:tc>
        <w:tc>
          <w:tcPr>
            <w:tcW w:w="7624" w:type="dxa"/>
            <w:vAlign w:val="center"/>
            <w:textDirection w:val="lrTb"/>
            <w:noWrap w:val="false"/>
          </w:tcPr>
          <w:p>
            <w:pPr>
              <w:jc w:val="left"/>
              <w:rPr>
                <w:rFonts w:cs="Times New Roman"/>
                <w:sz w:val="24"/>
                <w:szCs w:val="24"/>
              </w:rPr>
            </w:pPr>
            <w:r>
              <w:rPr>
                <w:rFonts w:cs="Times New Roman"/>
                <w:sz w:val="24"/>
                <w:szCs w:val="24"/>
              </w:rPr>
              <w:t xml:space="preserve">1、投标人具有已建成并投入使用资源化处置及综合利用厂房的得3分，不能提供相关凭证不得分。</w:t>
            </w:r>
            <w:r/>
          </w:p>
          <w:p>
            <w:pPr>
              <w:ind w:firstLine="0"/>
              <w:jc w:val="left"/>
              <w:rPr>
                <w:rFonts w:cs="Times New Roman"/>
                <w:b/>
                <w:bCs/>
                <w:sz w:val="24"/>
                <w:szCs w:val="24"/>
              </w:rPr>
            </w:pPr>
            <w:r>
              <w:rPr>
                <w:rFonts w:hAnsi="宋体" w:cs="Times New Roman"/>
                <w:b/>
                <w:bCs/>
                <w:sz w:val="24"/>
                <w:szCs w:val="24"/>
              </w:rPr>
              <w:t xml:space="preserve">（提供相关房产证或租赁协议原件扫描件上传）</w:t>
            </w:r>
            <w:r/>
          </w:p>
          <w:p>
            <w:pPr>
              <w:jc w:val="left"/>
              <w:rPr>
                <w:rFonts w:cs="Times New Roman"/>
                <w:sz w:val="24"/>
                <w:szCs w:val="24"/>
              </w:rPr>
            </w:pPr>
            <w:r>
              <w:rPr>
                <w:rFonts w:cs="Times New Roman"/>
                <w:sz w:val="24"/>
                <w:szCs w:val="24"/>
              </w:rPr>
              <w:t xml:space="preserve">2、投标人已具有完整的建筑、装潢垃圾分拣、处理、资源化利用生产线的得3分，不能提供相关凭证不得分。</w:t>
            </w:r>
            <w:r/>
          </w:p>
          <w:p>
            <w:pPr>
              <w:ind w:firstLine="0"/>
              <w:jc w:val="left"/>
              <w:rPr>
                <w:rFonts w:cs="Times New Roman"/>
                <w:b/>
                <w:bCs/>
                <w:sz w:val="24"/>
                <w:szCs w:val="24"/>
              </w:rPr>
            </w:pPr>
            <w:r>
              <w:rPr>
                <w:rFonts w:hAnsi="宋体" w:cs="Times New Roman"/>
                <w:b/>
                <w:bCs/>
                <w:sz w:val="24"/>
                <w:szCs w:val="24"/>
              </w:rPr>
              <w:t xml:space="preserve">（相关凭证原件扫描上传）</w:t>
            </w:r>
            <w:r/>
          </w:p>
          <w:p>
            <w:pPr>
              <w:jc w:val="left"/>
              <w:rPr>
                <w:rFonts w:cs="Times New Roman"/>
                <w:sz w:val="24"/>
                <w:szCs w:val="24"/>
              </w:rPr>
            </w:pPr>
            <w:r>
              <w:rPr>
                <w:rFonts w:cs="Times New Roman"/>
                <w:sz w:val="24"/>
                <w:szCs w:val="24"/>
              </w:rPr>
              <w:t xml:space="preserve">3、投标人拥有已建成并投入使用的资源化处置及综合利用工厂，年处理建筑垃圾能力达30万吨及以上的得1分；年处理建筑垃圾能力达50万吨及以上的得2分；年处理建筑垃圾能力达100万吨及以上的得3分，满分3分。未建处理工厂的不得分。</w:t>
            </w:r>
            <w:r>
              <w:rPr>
                <w:rFonts w:hAnsi="宋体" w:cs="Times New Roman"/>
                <w:b/>
                <w:bCs/>
                <w:sz w:val="24"/>
                <w:szCs w:val="24"/>
              </w:rPr>
              <w:t xml:space="preserve">（需提供竣工验收的相关资料或其他能够证明处理能力的材料原件扫描上传）</w:t>
            </w:r>
            <w:r/>
          </w:p>
          <w:p>
            <w:pPr>
              <w:jc w:val="left"/>
              <w:rPr>
                <w:rFonts w:cs="Times New Roman"/>
                <w:sz w:val="24"/>
                <w:szCs w:val="24"/>
              </w:rPr>
            </w:pPr>
            <w:r>
              <w:rPr>
                <w:rFonts w:cs="Times New Roman"/>
                <w:sz w:val="24"/>
                <w:szCs w:val="24"/>
              </w:rPr>
              <w:t xml:space="preserve">4、投标人消纳处置场所具有环境主管部门出具的相应环境影响报告的批复意见并完成环保验收的得3分。</w:t>
            </w:r>
            <w:r/>
          </w:p>
          <w:p>
            <w:pPr>
              <w:ind w:firstLine="0"/>
              <w:jc w:val="left"/>
              <w:rPr>
                <w:rFonts w:cs="Times New Roman"/>
                <w:sz w:val="24"/>
                <w:szCs w:val="24"/>
              </w:rPr>
            </w:pPr>
            <w:r>
              <w:rPr>
                <w:rFonts w:hAnsi="宋体" w:cs="Times New Roman"/>
                <w:b/>
                <w:bCs/>
                <w:sz w:val="24"/>
                <w:szCs w:val="24"/>
              </w:rPr>
              <w:t xml:space="preserve">（相关批复文件原件扫描上传）</w:t>
            </w:r>
            <w:r/>
          </w:p>
        </w:tc>
      </w:tr>
      <w:tr>
        <w:trPr>
          <w:trHeight w:val="90"/>
        </w:trPr>
        <w:tc>
          <w:tcPr>
            <w:tcW w:w="1375" w:type="dxa"/>
            <w:vAlign w:val="center"/>
            <w:textDirection w:val="lrTb"/>
            <w:noWrap w:val="false"/>
          </w:tcPr>
          <w:p>
            <w:pPr>
              <w:ind w:firstLine="0"/>
              <w:jc w:val="center"/>
              <w:rPr>
                <w:rFonts w:cs="Times New Roman"/>
                <w:b/>
                <w:bCs/>
                <w:sz w:val="24"/>
                <w:szCs w:val="24"/>
              </w:rPr>
            </w:pPr>
            <w:r>
              <w:rPr>
                <w:rFonts w:hAnsi="宋体" w:cs="Times New Roman"/>
                <w:b/>
                <w:bCs/>
                <w:sz w:val="24"/>
                <w:szCs w:val="24"/>
              </w:rPr>
              <w:t xml:space="preserve">企业实力</w:t>
            </w:r>
            <w:r/>
          </w:p>
          <w:p>
            <w:pPr>
              <w:ind w:firstLine="0"/>
              <w:jc w:val="center"/>
              <w:rPr>
                <w:rFonts w:cs="Times New Roman"/>
                <w:b/>
                <w:bCs/>
                <w:sz w:val="24"/>
                <w:szCs w:val="24"/>
              </w:rPr>
            </w:pPr>
            <w:r>
              <w:rPr>
                <w:rFonts w:hAnsi="宋体" w:cs="Times New Roman"/>
                <w:b/>
                <w:bCs/>
                <w:sz w:val="24"/>
                <w:szCs w:val="24"/>
              </w:rPr>
              <w:t xml:space="preserve">（</w:t>
            </w:r>
            <w:r>
              <w:rPr>
                <w:rFonts w:cs="Times New Roman"/>
                <w:b/>
                <w:bCs/>
                <w:sz w:val="24"/>
                <w:szCs w:val="24"/>
              </w:rPr>
              <w:t xml:space="preserve">3</w:t>
            </w:r>
            <w:r>
              <w:rPr>
                <w:rFonts w:hAnsi="宋体" w:cs="Times New Roman"/>
                <w:b/>
                <w:bCs/>
                <w:sz w:val="24"/>
                <w:szCs w:val="24"/>
              </w:rPr>
              <w:t xml:space="preserve">分）</w:t>
            </w:r>
            <w:r/>
          </w:p>
        </w:tc>
        <w:tc>
          <w:tcPr>
            <w:tcW w:w="7624" w:type="dxa"/>
            <w:vAlign w:val="center"/>
            <w:textDirection w:val="lrTb"/>
            <w:noWrap w:val="false"/>
          </w:tcPr>
          <w:p>
            <w:pPr>
              <w:jc w:val="left"/>
              <w:rPr>
                <w:rFonts w:cs="Times New Roman"/>
                <w:b/>
                <w:bCs/>
                <w:sz w:val="24"/>
                <w:szCs w:val="24"/>
              </w:rPr>
            </w:pPr>
            <w:r>
              <w:rPr>
                <w:rFonts w:hAnsi="宋体" w:cs="Times New Roman"/>
                <w:sz w:val="24"/>
                <w:szCs w:val="24"/>
              </w:rPr>
              <w:t xml:space="preserve">投标人具有有效期内的环境管理体系认证、质量管理体系认证、职业健康安全管理体系认证的，每提供</w:t>
            </w:r>
            <w:r>
              <w:rPr>
                <w:rFonts w:cs="Times New Roman"/>
                <w:sz w:val="24"/>
                <w:szCs w:val="24"/>
              </w:rPr>
              <w:t xml:space="preserve">1</w:t>
            </w:r>
            <w:r>
              <w:rPr>
                <w:rFonts w:hAnsi="宋体" w:cs="Times New Roman"/>
                <w:sz w:val="24"/>
                <w:szCs w:val="24"/>
              </w:rPr>
              <w:t xml:space="preserve">个得</w:t>
            </w:r>
            <w:r>
              <w:rPr>
                <w:rFonts w:cs="Times New Roman"/>
                <w:sz w:val="24"/>
                <w:szCs w:val="24"/>
              </w:rPr>
              <w:t xml:space="preserve">1</w:t>
            </w:r>
            <w:r>
              <w:rPr>
                <w:rFonts w:hAnsi="宋体" w:cs="Times New Roman"/>
                <w:sz w:val="24"/>
                <w:szCs w:val="24"/>
              </w:rPr>
              <w:t xml:space="preserve">分</w:t>
            </w:r>
            <w:r>
              <w:rPr>
                <w:rFonts w:cs="Times New Roman"/>
                <w:sz w:val="24"/>
                <w:szCs w:val="24"/>
              </w:rPr>
              <w:t xml:space="preserve">,</w:t>
            </w:r>
            <w:r>
              <w:rPr>
                <w:rFonts w:hAnsi="宋体" w:cs="Times New Roman"/>
                <w:sz w:val="24"/>
                <w:szCs w:val="24"/>
              </w:rPr>
              <w:t xml:space="preserve">满分</w:t>
            </w:r>
            <w:r>
              <w:rPr>
                <w:rFonts w:cs="Times New Roman"/>
                <w:sz w:val="24"/>
                <w:szCs w:val="24"/>
              </w:rPr>
              <w:t xml:space="preserve">3</w:t>
            </w:r>
            <w:r>
              <w:rPr>
                <w:rFonts w:hAnsi="宋体" w:cs="Times New Roman"/>
                <w:sz w:val="24"/>
                <w:szCs w:val="24"/>
              </w:rPr>
              <w:t xml:space="preserve">分。</w:t>
            </w:r>
            <w:r>
              <w:rPr>
                <w:rFonts w:hAnsi="宋体" w:cs="Times New Roman"/>
                <w:b/>
                <w:bCs/>
                <w:sz w:val="24"/>
                <w:szCs w:val="24"/>
              </w:rPr>
              <w:t xml:space="preserve">（证书须为投标人所有且在有效期内，提供证书原件扫描件上传）</w:t>
            </w:r>
            <w:r/>
          </w:p>
        </w:tc>
      </w:tr>
      <w:tr>
        <w:trPr>
          <w:trHeight w:val="90"/>
        </w:trPr>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ind w:firstLine="0"/>
              <w:jc w:val="center"/>
              <w:rPr>
                <w:rFonts w:cs="Times New Roman"/>
                <w:b/>
                <w:bCs/>
                <w:sz w:val="24"/>
                <w:szCs w:val="24"/>
              </w:rPr>
            </w:pPr>
            <w:r>
              <w:rPr>
                <w:rFonts w:hAnsi="宋体" w:cs="Times New Roman"/>
                <w:b/>
                <w:bCs/>
                <w:sz w:val="24"/>
                <w:szCs w:val="24"/>
              </w:rPr>
              <w:t xml:space="preserve">防尘、降尘设备</w:t>
            </w:r>
            <w:r/>
          </w:p>
          <w:p>
            <w:pPr>
              <w:ind w:firstLine="0"/>
              <w:rPr>
                <w:rFonts w:cs="Times New Roman"/>
                <w:b/>
                <w:bCs/>
                <w:sz w:val="24"/>
                <w:szCs w:val="24"/>
              </w:rPr>
            </w:pPr>
            <w:r>
              <w:rPr>
                <w:rFonts w:hAnsi="宋体" w:cs="Times New Roman"/>
                <w:b/>
                <w:bCs/>
                <w:sz w:val="24"/>
                <w:szCs w:val="24"/>
              </w:rPr>
              <w:t xml:space="preserve">（</w:t>
            </w:r>
            <w:r>
              <w:rPr>
                <w:rFonts w:cs="Times New Roman"/>
                <w:b/>
                <w:bCs/>
                <w:sz w:val="24"/>
                <w:szCs w:val="24"/>
              </w:rPr>
              <w:t xml:space="preserve">5</w:t>
            </w:r>
            <w:r>
              <w:rPr>
                <w:rFonts w:hAnsi="宋体" w:cs="Times New Roman"/>
                <w:b/>
                <w:b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624" w:type="dxa"/>
            <w:vAlign w:val="center"/>
            <w:textDirection w:val="lrTb"/>
            <w:noWrap w:val="false"/>
          </w:tcPr>
          <w:p>
            <w:pPr>
              <w:jc w:val="left"/>
              <w:rPr>
                <w:rFonts w:cs="Times New Roman"/>
                <w:sz w:val="24"/>
                <w:szCs w:val="24"/>
              </w:rPr>
            </w:pPr>
            <w:r>
              <w:rPr>
                <w:rFonts w:hAnsi="宋体" w:cs="Times New Roman"/>
                <w:sz w:val="24"/>
                <w:szCs w:val="24"/>
              </w:rPr>
              <w:t xml:space="preserve">投标人自有或租赁抑尘雾炮车的（或承诺中标后签订合同之前提供，格式自拟），每有</w:t>
            </w:r>
            <w:r>
              <w:rPr>
                <w:rFonts w:cs="Times New Roman"/>
                <w:sz w:val="24"/>
                <w:szCs w:val="24"/>
              </w:rPr>
              <w:t xml:space="preserve">1</w:t>
            </w:r>
            <w:r>
              <w:rPr>
                <w:rFonts w:hAnsi="宋体" w:cs="Times New Roman"/>
                <w:sz w:val="24"/>
                <w:szCs w:val="24"/>
              </w:rPr>
              <w:t xml:space="preserve">辆得</w:t>
            </w:r>
            <w:r>
              <w:rPr>
                <w:rFonts w:cs="Times New Roman"/>
                <w:sz w:val="24"/>
                <w:szCs w:val="24"/>
              </w:rPr>
              <w:t xml:space="preserve">1</w:t>
            </w:r>
            <w:r>
              <w:rPr>
                <w:rFonts w:hAnsi="宋体" w:cs="Times New Roman"/>
                <w:sz w:val="24"/>
                <w:szCs w:val="24"/>
              </w:rPr>
              <w:t xml:space="preserve">分，满分</w:t>
            </w:r>
            <w:r>
              <w:rPr>
                <w:rFonts w:cs="Times New Roman"/>
                <w:sz w:val="24"/>
                <w:szCs w:val="24"/>
              </w:rPr>
              <w:t xml:space="preserve">5</w:t>
            </w:r>
            <w:r>
              <w:rPr>
                <w:rFonts w:hAnsi="宋体" w:cs="Times New Roman"/>
                <w:sz w:val="24"/>
                <w:szCs w:val="24"/>
              </w:rPr>
              <w:t xml:space="preserve">分。</w:t>
            </w:r>
            <w:r/>
          </w:p>
          <w:p>
            <w:pPr>
              <w:ind w:firstLine="0"/>
              <w:jc w:val="left"/>
              <w:rPr>
                <w:rFonts w:cs="Times New Roman"/>
                <w:sz w:val="24"/>
                <w:szCs w:val="24"/>
              </w:rPr>
            </w:pPr>
            <w:r>
              <w:rPr>
                <w:rFonts w:hAnsi="宋体" w:cs="Times New Roman"/>
                <w:b/>
                <w:bCs/>
                <w:sz w:val="24"/>
                <w:szCs w:val="24"/>
              </w:rPr>
              <w:t xml:space="preserve">（须提供购置发票原件或租赁协议原件</w:t>
            </w:r>
            <w:r>
              <w:rPr>
                <w:rFonts w:cs="Times New Roman"/>
                <w:b/>
                <w:bCs/>
                <w:sz w:val="24"/>
                <w:szCs w:val="24"/>
              </w:rPr>
              <w:t xml:space="preserve">，同时提供车辆行驶证及车辆照片（车辆照片需能清晰体现车辆牌照），原件</w:t>
            </w:r>
            <w:r>
              <w:rPr>
                <w:rFonts w:hAnsi="宋体" w:cs="Times New Roman"/>
                <w:b/>
                <w:bCs/>
                <w:sz w:val="24"/>
                <w:szCs w:val="24"/>
              </w:rPr>
              <w:t xml:space="preserve">扫描件上传，提供承诺书的仅需提供承诺书）</w:t>
            </w:r>
            <w:r/>
          </w:p>
        </w:tc>
      </w:tr>
      <w:tr>
        <w:trPr>
          <w:trHeight w:val="90"/>
        </w:trPr>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ind w:firstLine="0"/>
              <w:jc w:val="center"/>
              <w:rPr>
                <w:rFonts w:cs="Times New Roman"/>
                <w:b/>
                <w:bCs/>
                <w:sz w:val="24"/>
                <w:szCs w:val="24"/>
              </w:rPr>
            </w:pPr>
            <w:r>
              <w:rPr>
                <w:rFonts w:hAnsi="宋体" w:cs="Times New Roman"/>
                <w:b/>
                <w:bCs/>
                <w:sz w:val="24"/>
                <w:szCs w:val="24"/>
              </w:rPr>
              <w:t xml:space="preserve">业绩</w:t>
            </w:r>
            <w:r/>
          </w:p>
          <w:p>
            <w:pPr>
              <w:ind w:firstLine="0"/>
              <w:jc w:val="center"/>
              <w:rPr>
                <w:rFonts w:cs="Times New Roman"/>
                <w:b/>
                <w:bCs/>
                <w:sz w:val="24"/>
                <w:szCs w:val="24"/>
              </w:rPr>
            </w:pPr>
            <w:r>
              <w:rPr>
                <w:rFonts w:hAnsi="宋体" w:cs="Times New Roman"/>
                <w:b/>
                <w:bCs/>
                <w:sz w:val="24"/>
                <w:szCs w:val="24"/>
              </w:rPr>
              <w:t xml:space="preserve">（</w:t>
            </w:r>
            <w:r>
              <w:rPr>
                <w:rFonts w:cs="Times New Roman"/>
                <w:b/>
                <w:bCs/>
                <w:sz w:val="24"/>
                <w:szCs w:val="24"/>
              </w:rPr>
              <w:t xml:space="preserve">10</w:t>
            </w:r>
            <w:r>
              <w:rPr>
                <w:rFonts w:hAnsi="宋体" w:cs="Times New Roman"/>
                <w:b/>
                <w:b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624" w:type="dxa"/>
            <w:vAlign w:val="center"/>
            <w:textDirection w:val="lrTb"/>
            <w:noWrap w:val="false"/>
          </w:tcPr>
          <w:p>
            <w:pPr>
              <w:jc w:val="left"/>
              <w:rPr>
                <w:rFonts w:cs="Times New Roman"/>
                <w:sz w:val="24"/>
                <w:szCs w:val="24"/>
              </w:rPr>
            </w:pPr>
            <w:r>
              <w:rPr>
                <w:rFonts w:hAnsi="宋体" w:cs="Times New Roman"/>
                <w:sz w:val="24"/>
                <w:szCs w:val="24"/>
              </w:rPr>
              <w:t xml:space="preserve">投标人自</w:t>
            </w:r>
            <w:r>
              <w:rPr>
                <w:rFonts w:cs="Times New Roman"/>
                <w:sz w:val="24"/>
                <w:szCs w:val="24"/>
              </w:rPr>
              <w:t xml:space="preserve">2023</w:t>
            </w:r>
            <w:r>
              <w:rPr>
                <w:rFonts w:hAnsi="宋体" w:cs="Times New Roman"/>
                <w:sz w:val="24"/>
                <w:szCs w:val="24"/>
              </w:rPr>
              <w:t xml:space="preserve">年</w:t>
            </w:r>
            <w:r>
              <w:rPr>
                <w:rFonts w:cs="Times New Roman"/>
                <w:sz w:val="24"/>
                <w:szCs w:val="24"/>
              </w:rPr>
              <w:t xml:space="preserve">1</w:t>
            </w:r>
            <w:r>
              <w:rPr>
                <w:rFonts w:hAnsi="宋体" w:cs="Times New Roman"/>
                <w:sz w:val="24"/>
                <w:szCs w:val="24"/>
              </w:rPr>
              <w:t xml:space="preserve">月</w:t>
            </w:r>
            <w:r>
              <w:rPr>
                <w:rFonts w:cs="Times New Roman"/>
                <w:sz w:val="24"/>
                <w:szCs w:val="24"/>
              </w:rPr>
              <w:t xml:space="preserve">1</w:t>
            </w:r>
            <w:r>
              <w:rPr>
                <w:rFonts w:hAnsi="宋体" w:cs="Times New Roman"/>
                <w:sz w:val="24"/>
                <w:szCs w:val="24"/>
              </w:rPr>
              <w:t xml:space="preserve">日至今承接过类似项目业绩的，</w:t>
            </w:r>
            <w:r>
              <w:rPr>
                <w:rFonts w:hAnsi="宋体" w:cs="Times New Roman"/>
                <w:sz w:val="24"/>
                <w:szCs w:val="24"/>
                <w:lang w:val="zh-CN"/>
              </w:rPr>
              <w:t xml:space="preserve">每提供</w:t>
            </w:r>
            <w:r>
              <w:rPr>
                <w:rFonts w:cs="Times New Roman"/>
                <w:sz w:val="24"/>
                <w:szCs w:val="24"/>
                <w:lang w:val="zh-CN"/>
              </w:rPr>
              <w:t xml:space="preserve">1</w:t>
            </w:r>
            <w:r>
              <w:rPr>
                <w:rFonts w:hAnsi="宋体" w:cs="Times New Roman"/>
                <w:sz w:val="24"/>
                <w:szCs w:val="24"/>
                <w:lang w:val="zh-CN"/>
              </w:rPr>
              <w:t xml:space="preserve">份得</w:t>
            </w:r>
            <w:r>
              <w:rPr>
                <w:rFonts w:cs="Times New Roman"/>
                <w:sz w:val="24"/>
                <w:szCs w:val="24"/>
              </w:rPr>
              <w:t xml:space="preserve">2</w:t>
            </w:r>
            <w:r>
              <w:rPr>
                <w:rFonts w:hAnsi="宋体" w:cs="Times New Roman"/>
                <w:sz w:val="24"/>
                <w:szCs w:val="24"/>
                <w:lang w:val="zh-CN"/>
              </w:rPr>
              <w:t xml:space="preserve">分</w:t>
            </w:r>
            <w:r>
              <w:rPr>
                <w:rFonts w:cs="Times New Roman"/>
                <w:sz w:val="24"/>
                <w:szCs w:val="24"/>
                <w:lang w:val="zh-CN"/>
              </w:rPr>
              <w:t xml:space="preserve">,</w:t>
            </w:r>
            <w:r>
              <w:rPr>
                <w:rFonts w:hAnsi="宋体" w:cs="Times New Roman"/>
                <w:sz w:val="24"/>
                <w:szCs w:val="24"/>
                <w:lang w:val="zh-CN"/>
              </w:rPr>
              <w:t xml:space="preserve">满分</w:t>
            </w:r>
            <w:r>
              <w:rPr>
                <w:rFonts w:cs="Times New Roman"/>
                <w:sz w:val="24"/>
                <w:szCs w:val="24"/>
              </w:rPr>
              <w:t xml:space="preserve">10</w:t>
            </w:r>
            <w:r>
              <w:rPr>
                <w:rFonts w:hAnsi="宋体" w:cs="Times New Roman"/>
                <w:sz w:val="24"/>
                <w:szCs w:val="24"/>
                <w:lang w:val="zh-CN"/>
              </w:rPr>
              <w:t xml:space="preserve">分。</w:t>
            </w:r>
            <w:r>
              <w:rPr>
                <w:rFonts w:hAnsi="宋体" w:cs="Times New Roman"/>
                <w:b/>
                <w:bCs/>
                <w:sz w:val="24"/>
                <w:szCs w:val="24"/>
                <w:lang w:val="zh-CN"/>
              </w:rPr>
              <w:t xml:space="preserve">（</w:t>
            </w:r>
            <w:r>
              <w:rPr>
                <w:rFonts w:hAnsi="宋体" w:cs="Times New Roman"/>
                <w:b/>
                <w:bCs/>
                <w:sz w:val="24"/>
                <w:szCs w:val="24"/>
              </w:rPr>
              <w:t xml:space="preserve">提供</w:t>
            </w:r>
            <w:r>
              <w:rPr>
                <w:rFonts w:hAnsi="宋体" w:cs="Times New Roman"/>
                <w:b/>
                <w:bCs/>
                <w:sz w:val="24"/>
                <w:szCs w:val="24"/>
                <w:lang w:val="zh-CN"/>
              </w:rPr>
              <w:t xml:space="preserve">合同</w:t>
            </w:r>
            <w:r>
              <w:rPr>
                <w:rFonts w:hAnsi="宋体" w:cs="Times New Roman"/>
                <w:b/>
                <w:bCs/>
                <w:sz w:val="24"/>
                <w:szCs w:val="24"/>
              </w:rPr>
              <w:t xml:space="preserve">原件扫描件上传，时间以合同签订时间为准。</w:t>
            </w:r>
            <w:r>
              <w:rPr>
                <w:rFonts w:hAnsi="宋体" w:cs="Times New Roman"/>
                <w:b/>
                <w:bCs/>
                <w:sz w:val="24"/>
                <w:szCs w:val="24"/>
                <w:lang w:val="zh-CN"/>
              </w:rPr>
              <w:t xml:space="preserve">）</w:t>
            </w:r>
            <w:r/>
          </w:p>
        </w:tc>
      </w:tr>
    </w:tbl>
    <w:p>
      <w:pPr>
        <w:jc w:val="both"/>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pStyle w:val="738"/>
        <w:rPr>
          <w:rFonts w:eastAsia="Times New Roman"/>
        </w:rPr>
      </w:pPr>
      <w:r>
        <w:rPr>
          <w:rFonts w:eastAsia="Times New Roman"/>
        </w:rPr>
      </w:r>
      <w:r/>
    </w:p>
    <w:p>
      <w:pPr>
        <w:rPr>
          <w:rFonts w:eastAsia="Times New Roman"/>
        </w:rPr>
      </w:pPr>
      <w:r>
        <w:rPr>
          <w:rFonts w:eastAsia="Times New Roman"/>
        </w:rPr>
      </w:r>
      <w:r/>
    </w:p>
    <w:p>
      <w:pPr>
        <w:pStyle w:val="738"/>
        <w:rPr>
          <w:rFonts w:eastAsia="Times New Roman"/>
        </w:rPr>
      </w:pPr>
      <w:r>
        <w:rPr>
          <w:rFonts w:eastAsia="Times New Roman"/>
        </w:rPr>
      </w:r>
      <w:r/>
    </w:p>
    <w:p>
      <w:pPr>
        <w:rPr>
          <w:rFonts w:eastAsia="Times New Roman"/>
        </w:rPr>
      </w:pPr>
      <w:r>
        <w:rPr>
          <w:rFonts w:eastAsia="Times New Roman"/>
        </w:rPr>
      </w:r>
      <w:r/>
    </w:p>
    <w:p>
      <w:pPr>
        <w:pStyle w:val="738"/>
        <w:rPr>
          <w:rFonts w:eastAsia="Times New Roman"/>
        </w:rPr>
      </w:pPr>
      <w:r>
        <w:rPr>
          <w:rFonts w:eastAsia="Times New Roman"/>
        </w:rPr>
      </w:r>
      <w:r/>
    </w:p>
    <w:p>
      <w:pPr>
        <w:rPr>
          <w:rFonts w:eastAsia="Times New Roman"/>
        </w:rPr>
      </w:pPr>
      <w:r>
        <w:rPr>
          <w:rFonts w:eastAsia="Times New Roman"/>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939"/>
        <w:rPr>
          <w:rFonts w:ascii="黑体" w:hAnsi="黑体" w:cs="黑体"/>
          <w:color w:val="000000"/>
          <w:szCs w:val="44"/>
        </w:rPr>
      </w:pPr>
      <w:r>
        <w:rPr>
          <w:rStyle w:val="974"/>
          <w:rFonts w:ascii="黑体" w:hAnsi="黑体" w:cs="黑体"/>
        </w:rPr>
        <w:t xml:space="preserve">第六章</w:t>
      </w:r>
      <w:r>
        <w:rPr>
          <w:rStyle w:val="974"/>
          <w:rFonts w:hint="eastAsia" w:ascii="黑体" w:hAnsi="黑体" w:cs="黑体"/>
          <w:lang w:val="en-US" w:eastAsia="zh-CN"/>
        </w:rPr>
        <w:t xml:space="preserve">  </w:t>
      </w:r>
      <w:r>
        <w:rPr>
          <w:rStyle w:val="974"/>
          <w:rFonts w:ascii="黑体" w:hAnsi="黑体" w:cs="黑体"/>
        </w:rPr>
        <w:t xml:space="preserve">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rPr>
          <w:rFonts w:hint="eastAsia" w:ascii="宋体" w:hAnsi="宋体" w:cs="宋体"/>
          <w:b/>
          <w:color w:val="000000"/>
          <w:sz w:val="36"/>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****（格式见附件**）</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 2024或2025</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48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w:t>
      </w:r>
      <w:r>
        <w:rPr>
          <w:rFonts w:ascii="宋体" w:hAnsi="宋体" w:cs="宋体"/>
          <w:color w:val="c00000"/>
          <w:sz w:val="24"/>
        </w:rPr>
        <w:t xml:space="preserve">否则做无效投标处理。</w:t>
      </w:r>
      <w:r>
        <w:rPr>
          <w:rFonts w:ascii="宋体" w:hAnsi="宋体" w:cs="宋体"/>
          <w:color w:val="000000"/>
          <w:sz w:val="24"/>
        </w:rPr>
        <w:t xml:space="preserve">（格式见附件14）</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w:t>
      </w:r>
      <w:r>
        <w:rPr>
          <w:rFonts w:hint="eastAsia" w:ascii="宋体" w:hAnsi="宋体" w:cs="宋体"/>
          <w:b/>
          <w:color w:val="000000"/>
          <w:sz w:val="24"/>
        </w:rPr>
        <w:t xml:space="preserve">                     </w:t>
      </w:r>
      <w:r>
        <w:rPr>
          <w:rFonts w:ascii="宋体" w:hAnsi="宋体" w:cs="宋体"/>
          <w:b/>
          <w:color w:val="000000"/>
          <w:sz w:val="24"/>
        </w:rPr>
        <w:t xml:space="preserve">开标一览表</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bl>
      <w:tblPr>
        <w:tblStyle w:val="771"/>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firstLine="480"/>
              <w:rPr>
                <w:rFonts w:ascii="宋体" w:hAnsi="宋体" w:cs="宋体"/>
                <w:color w:val="000000"/>
                <w:sz w:val="24"/>
              </w:rP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eastAsia="宋体" w:cs="宋体"/>
                <w:sz w:val="24"/>
                <w:szCs w:val="24"/>
                <w:highlight w:val="none"/>
              </w:rPr>
              <w:t xml:space="preserve">元/吨</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firstLine="480"/>
              <w:rPr>
                <w:rFonts w:ascii="宋体" w:hAnsi="宋体" w:cs="宋体"/>
                <w:color w:val="000000"/>
                <w:sz w:val="24"/>
              </w:rPr>
            </w:pPr>
            <w:r>
              <w:rPr>
                <w:rFonts w:ascii="宋体" w:hAnsi="宋体" w:cs="宋体"/>
                <w:color w:val="000000"/>
                <w:sz w:val="24"/>
              </w:rPr>
              <w:t xml:space="preserve">小写：                              （人民币：</w:t>
            </w:r>
            <w:r>
              <w:rPr>
                <w:rFonts w:hint="eastAsia" w:ascii="宋体" w:hAnsi="宋体" w:eastAsia="宋体" w:cs="宋体"/>
                <w:sz w:val="24"/>
                <w:szCs w:val="24"/>
                <w:highlight w:val="none"/>
              </w:rPr>
              <w:t xml:space="preserve">元/吨</w:t>
            </w:r>
            <w:r>
              <w:rPr>
                <w:rFonts w:ascii="宋体" w:hAnsi="宋体" w:cs="宋体"/>
                <w:color w:val="000000"/>
                <w:sz w:val="24"/>
              </w:rPr>
              <w:t xml:space="preserve">）</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w:t>
      </w:r>
      <w:r>
        <w:rPr>
          <w:rFonts w:hint="eastAsia" w:ascii="宋体" w:hAnsi="宋体" w:cs="宋体"/>
          <w:b/>
          <w:color w:val="000000"/>
          <w:sz w:val="24"/>
        </w:rPr>
        <w:t xml:space="preserve">     投标分项报价表（</w:t>
      </w:r>
      <w:r>
        <w:rPr>
          <w:rFonts w:ascii="宋体" w:hAnsi="宋体" w:cs="宋体"/>
          <w:b/>
          <w:color w:val="000000"/>
          <w:sz w:val="24"/>
        </w:rPr>
        <w:t xml:space="preserve">采购包号</w:t>
      </w:r>
      <w:r>
        <w:rPr>
          <w:rFonts w:hint="eastAsia" w:ascii="宋体" w:hAnsi="宋体" w:cs="宋体"/>
          <w:b/>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tbl>
      <w:tblPr>
        <w:tblStyle w:val="746"/>
        <w:tblW w:w="8810" w:type="dxa"/>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83"/>
        <w:gridCol w:w="1733"/>
        <w:gridCol w:w="2409"/>
        <w:gridCol w:w="1985"/>
      </w:tblGrid>
      <w:tr>
        <w:trPr>
          <w:cantSplit/>
          <w:trHeight w:val="544"/>
        </w:trPr>
        <w:tc>
          <w:tcPr>
            <w:tcW w:w="2683" w:type="dxa"/>
            <w:vAlign w:val="center"/>
            <w:textDirection w:val="lrTb"/>
            <w:noWrap w:val="false"/>
          </w:tcPr>
          <w:p>
            <w:pPr>
              <w:jc w:val="center"/>
              <w:rPr>
                <w:rFonts w:ascii="宋体" w:hAnsi="宋体"/>
              </w:rPr>
            </w:pPr>
            <w:r>
              <w:rPr>
                <w:rFonts w:hint="eastAsia" w:ascii="宋体" w:hAnsi="宋体"/>
              </w:rPr>
              <w:t xml:space="preserve">1</w:t>
            </w:r>
            <w:r/>
          </w:p>
        </w:tc>
        <w:tc>
          <w:tcPr>
            <w:tcW w:w="1733" w:type="dxa"/>
            <w:vAlign w:val="center"/>
            <w:textDirection w:val="lrTb"/>
            <w:noWrap w:val="false"/>
          </w:tcPr>
          <w:p>
            <w:pPr>
              <w:jc w:val="center"/>
              <w:rPr>
                <w:rFonts w:ascii="宋体" w:hAnsi="宋体"/>
              </w:rPr>
            </w:pPr>
            <w:r>
              <w:rPr>
                <w:rFonts w:hint="eastAsia" w:ascii="宋体" w:hAnsi="宋体"/>
              </w:rPr>
              <w:t xml:space="preserve">2</w:t>
            </w:r>
            <w:r/>
          </w:p>
        </w:tc>
        <w:tc>
          <w:tcPr>
            <w:tcW w:w="2409" w:type="dxa"/>
            <w:vAlign w:val="center"/>
            <w:textDirection w:val="lrTb"/>
            <w:noWrap w:val="false"/>
          </w:tcPr>
          <w:p>
            <w:pPr>
              <w:jc w:val="center"/>
              <w:rPr>
                <w:rFonts w:ascii="宋体" w:hAnsi="宋体"/>
              </w:rPr>
            </w:pPr>
            <w:r>
              <w:rPr>
                <w:rFonts w:hint="eastAsia" w:ascii="宋体" w:hAnsi="宋体"/>
              </w:rPr>
              <w:t xml:space="preserve">3</w:t>
            </w:r>
            <w:r/>
          </w:p>
        </w:tc>
        <w:tc>
          <w:tcPr>
            <w:tcW w:w="1985" w:type="dxa"/>
            <w:vAlign w:val="center"/>
            <w:textDirection w:val="lrTb"/>
            <w:noWrap w:val="false"/>
          </w:tcPr>
          <w:p>
            <w:pPr>
              <w:jc w:val="center"/>
              <w:rPr>
                <w:rFonts w:ascii="宋体" w:hAnsi="宋体"/>
              </w:rPr>
            </w:pPr>
            <w:r>
              <w:rPr>
                <w:rFonts w:hint="eastAsia" w:ascii="宋体" w:hAnsi="宋体"/>
              </w:rPr>
              <w:t xml:space="preserve">4</w:t>
            </w:r>
            <w:r/>
          </w:p>
        </w:tc>
      </w:tr>
      <w:tr>
        <w:trPr>
          <w:cantSplit/>
          <w:trHeight w:val="824"/>
        </w:trPr>
        <w:tc>
          <w:tcPr>
            <w:tcW w:w="2683" w:type="dxa"/>
            <w:vAlign w:val="center"/>
            <w:textDirection w:val="lrTb"/>
            <w:noWrap w:val="false"/>
          </w:tcPr>
          <w:p>
            <w:pPr>
              <w:jc w:val="center"/>
              <w:rPr>
                <w:rFonts w:ascii="宋体" w:hAnsi="宋体"/>
              </w:rPr>
            </w:pPr>
            <w:r>
              <w:rPr>
                <w:rFonts w:hint="eastAsia" w:ascii="宋体" w:hAnsi="宋体"/>
              </w:rPr>
              <w:t xml:space="preserve">名称</w:t>
            </w:r>
            <w:r/>
          </w:p>
        </w:tc>
        <w:tc>
          <w:tcPr>
            <w:tcW w:w="1733" w:type="dxa"/>
            <w:vAlign w:val="center"/>
            <w:textDirection w:val="lrTb"/>
            <w:noWrap w:val="false"/>
          </w:tcPr>
          <w:p>
            <w:pPr>
              <w:jc w:val="center"/>
              <w:rPr>
                <w:rFonts w:ascii="宋体" w:hAnsi="宋体"/>
              </w:rPr>
            </w:pPr>
            <w:r>
              <w:rPr>
                <w:rFonts w:hint="eastAsia" w:ascii="宋体" w:hAnsi="宋体"/>
              </w:rPr>
              <w:t xml:space="preserve">数量</w:t>
            </w:r>
            <w:r/>
          </w:p>
        </w:tc>
        <w:tc>
          <w:tcPr>
            <w:tcW w:w="2409" w:type="dxa"/>
            <w:vAlign w:val="center"/>
            <w:textDirection w:val="lrTb"/>
            <w:noWrap w:val="false"/>
          </w:tcPr>
          <w:p>
            <w:pPr>
              <w:jc w:val="center"/>
              <w:rPr>
                <w:rFonts w:ascii="宋体" w:hAnsi="宋体"/>
              </w:rPr>
            </w:pPr>
            <w:r>
              <w:rPr>
                <w:rFonts w:hint="eastAsia" w:ascii="宋体" w:hAnsi="宋体"/>
              </w:rPr>
              <w:t xml:space="preserve">单价</w:t>
            </w:r>
            <w:r/>
          </w:p>
        </w:tc>
        <w:tc>
          <w:tcPr>
            <w:tcW w:w="1985" w:type="dxa"/>
            <w:vAlign w:val="center"/>
            <w:textDirection w:val="lrTb"/>
            <w:noWrap w:val="false"/>
          </w:tcPr>
          <w:p>
            <w:pPr>
              <w:jc w:val="center"/>
              <w:rPr>
                <w:rFonts w:ascii="宋体" w:hAnsi="宋体"/>
              </w:rPr>
            </w:pPr>
            <w:r>
              <w:rPr>
                <w:rFonts w:hint="eastAsia" w:ascii="宋体" w:hAnsi="宋体"/>
              </w:rPr>
              <w:t xml:space="preserve">总价</w:t>
            </w:r>
            <w:r/>
          </w:p>
        </w:tc>
      </w:tr>
      <w:tr>
        <w:trPr>
          <w:cantSplit/>
          <w:trHeight w:val="924"/>
        </w:trPr>
        <w:tc>
          <w:tcPr>
            <w:tcW w:w="2683" w:type="dxa"/>
            <w:vAlign w:val="center"/>
            <w:textDirection w:val="lrTb"/>
            <w:noWrap w:val="false"/>
          </w:tcPr>
          <w:p>
            <w:pPr>
              <w:rPr>
                <w:rFonts w:ascii="宋体" w:hAnsi="宋体"/>
              </w:rPr>
            </w:pPr>
            <w:r>
              <w:rPr>
                <w:rFonts w:ascii="宋体" w:hAnsi="宋体"/>
              </w:rPr>
            </w:r>
            <w:r/>
          </w:p>
        </w:tc>
        <w:tc>
          <w:tcPr>
            <w:tcW w:w="1733" w:type="dxa"/>
            <w:vAlign w:val="center"/>
            <w:textDirection w:val="lrTb"/>
            <w:noWrap w:val="false"/>
          </w:tcPr>
          <w:p>
            <w:pPr>
              <w:rPr>
                <w:rFonts w:ascii="宋体" w:hAnsi="宋体"/>
              </w:rPr>
            </w:pPr>
            <w:r>
              <w:rPr>
                <w:rFonts w:ascii="宋体" w:hAnsi="宋体"/>
              </w:rPr>
            </w:r>
            <w:r/>
          </w:p>
        </w:tc>
        <w:tc>
          <w:tcPr>
            <w:tcW w:w="2409" w:type="dxa"/>
            <w:vAlign w:val="center"/>
            <w:textDirection w:val="lrTb"/>
            <w:noWrap w:val="false"/>
          </w:tcPr>
          <w:p>
            <w:pPr>
              <w:rPr>
                <w:rFonts w:ascii="宋体" w:hAnsi="宋体"/>
              </w:rPr>
            </w:pPr>
            <w:r>
              <w:rPr>
                <w:rFonts w:ascii="宋体" w:hAnsi="宋体"/>
              </w:rPr>
            </w:r>
            <w:r/>
          </w:p>
        </w:tc>
        <w:tc>
          <w:tcPr>
            <w:tcW w:w="1985" w:type="dxa"/>
            <w:vAlign w:val="center"/>
            <w:textDirection w:val="lrTb"/>
            <w:noWrap w:val="false"/>
          </w:tcPr>
          <w:p>
            <w:pPr>
              <w:rPr>
                <w:rFonts w:ascii="宋体" w:hAnsi="宋体"/>
              </w:rPr>
            </w:pPr>
            <w:r>
              <w:rPr>
                <w:rFonts w:ascii="宋体" w:hAnsi="宋体"/>
              </w:rPr>
            </w:r>
            <w:r/>
          </w:p>
        </w:tc>
      </w:tr>
      <w:tr>
        <w:trPr>
          <w:cantSplit/>
          <w:trHeight w:val="924"/>
        </w:trPr>
        <w:tc>
          <w:tcPr>
            <w:tcW w:w="2683" w:type="dxa"/>
            <w:vAlign w:val="center"/>
            <w:textDirection w:val="lrTb"/>
            <w:noWrap w:val="false"/>
          </w:tcPr>
          <w:p>
            <w:pPr>
              <w:rPr>
                <w:rFonts w:ascii="宋体" w:hAnsi="宋体"/>
              </w:rPr>
            </w:pPr>
            <w:r>
              <w:rPr>
                <w:rFonts w:ascii="宋体" w:hAnsi="宋体"/>
              </w:rPr>
            </w:r>
            <w:r/>
          </w:p>
        </w:tc>
        <w:tc>
          <w:tcPr>
            <w:tcW w:w="1733" w:type="dxa"/>
            <w:vAlign w:val="center"/>
            <w:textDirection w:val="lrTb"/>
            <w:noWrap w:val="false"/>
          </w:tcPr>
          <w:p>
            <w:pPr>
              <w:rPr>
                <w:rFonts w:ascii="宋体" w:hAnsi="宋体"/>
              </w:rPr>
            </w:pPr>
            <w:r>
              <w:rPr>
                <w:rFonts w:ascii="宋体" w:hAnsi="宋体"/>
              </w:rPr>
            </w:r>
            <w:r/>
          </w:p>
        </w:tc>
        <w:tc>
          <w:tcPr>
            <w:tcW w:w="2409" w:type="dxa"/>
            <w:vAlign w:val="center"/>
            <w:textDirection w:val="lrTb"/>
            <w:noWrap w:val="false"/>
          </w:tcPr>
          <w:p>
            <w:pPr>
              <w:rPr>
                <w:rFonts w:ascii="宋体" w:hAnsi="宋体"/>
              </w:rPr>
            </w:pPr>
            <w:r>
              <w:rPr>
                <w:rFonts w:ascii="宋体" w:hAnsi="宋体"/>
              </w:rPr>
            </w:r>
            <w:r/>
          </w:p>
        </w:tc>
        <w:tc>
          <w:tcPr>
            <w:tcW w:w="1985" w:type="dxa"/>
            <w:vAlign w:val="center"/>
            <w:textDirection w:val="lrTb"/>
            <w:noWrap w:val="false"/>
          </w:tcPr>
          <w:p>
            <w:pPr>
              <w:rPr>
                <w:rFonts w:ascii="宋体" w:hAnsi="宋体"/>
              </w:rPr>
            </w:pPr>
            <w:r>
              <w:rPr>
                <w:rFonts w:ascii="宋体" w:hAnsi="宋体"/>
              </w:rPr>
            </w:r>
            <w:r/>
          </w:p>
        </w:tc>
      </w:tr>
      <w:tr>
        <w:trPr>
          <w:cantSplit/>
          <w:trHeight w:val="924"/>
        </w:trPr>
        <w:tc>
          <w:tcPr>
            <w:tcW w:w="2683" w:type="dxa"/>
            <w:vAlign w:val="center"/>
            <w:textDirection w:val="lrTb"/>
            <w:noWrap w:val="false"/>
          </w:tcPr>
          <w:p>
            <w:pPr>
              <w:rPr>
                <w:rFonts w:ascii="宋体" w:hAnsi="宋体"/>
              </w:rPr>
            </w:pPr>
            <w:r>
              <w:rPr>
                <w:rFonts w:ascii="宋体" w:hAnsi="宋体"/>
              </w:rPr>
            </w:r>
            <w:r/>
          </w:p>
        </w:tc>
        <w:tc>
          <w:tcPr>
            <w:tcW w:w="1733" w:type="dxa"/>
            <w:vAlign w:val="center"/>
            <w:textDirection w:val="lrTb"/>
            <w:noWrap w:val="false"/>
          </w:tcPr>
          <w:p>
            <w:pPr>
              <w:rPr>
                <w:rFonts w:ascii="宋体" w:hAnsi="宋体"/>
              </w:rPr>
            </w:pPr>
            <w:r>
              <w:rPr>
                <w:rFonts w:ascii="宋体" w:hAnsi="宋体"/>
              </w:rPr>
            </w:r>
            <w:r/>
          </w:p>
        </w:tc>
        <w:tc>
          <w:tcPr>
            <w:tcW w:w="2409" w:type="dxa"/>
            <w:vAlign w:val="center"/>
            <w:textDirection w:val="lrTb"/>
            <w:noWrap w:val="false"/>
          </w:tcPr>
          <w:p>
            <w:pPr>
              <w:rPr>
                <w:rFonts w:ascii="宋体" w:hAnsi="宋体"/>
              </w:rPr>
            </w:pPr>
            <w:r>
              <w:rPr>
                <w:rFonts w:ascii="宋体" w:hAnsi="宋体"/>
              </w:rPr>
            </w:r>
            <w:r/>
          </w:p>
        </w:tc>
        <w:tc>
          <w:tcPr>
            <w:tcW w:w="1985" w:type="dxa"/>
            <w:vAlign w:val="center"/>
            <w:textDirection w:val="lrTb"/>
            <w:noWrap w:val="false"/>
          </w:tcPr>
          <w:p>
            <w:pPr>
              <w:rPr>
                <w:rFonts w:ascii="宋体" w:hAnsi="宋体"/>
              </w:rPr>
            </w:pPr>
            <w:r>
              <w:rPr>
                <w:rFonts w:ascii="宋体" w:hAnsi="宋体"/>
              </w:rPr>
            </w:r>
            <w:r/>
          </w:p>
        </w:tc>
      </w:tr>
      <w:tr>
        <w:trPr>
          <w:cantSplit/>
          <w:trHeight w:val="580"/>
        </w:trPr>
        <w:tc>
          <w:tcPr>
            <w:tcW w:w="2683" w:type="dxa"/>
            <w:vAlign w:val="center"/>
            <w:textDirection w:val="lrTb"/>
            <w:noWrap w:val="false"/>
          </w:tcPr>
          <w:p>
            <w:pPr>
              <w:rPr>
                <w:rFonts w:ascii="宋体" w:hAnsi="宋体"/>
              </w:rPr>
            </w:pPr>
            <w:r>
              <w:rPr>
                <w:rFonts w:ascii="宋体" w:hAnsi="宋体"/>
              </w:rPr>
            </w:r>
            <w:r/>
          </w:p>
        </w:tc>
        <w:tc>
          <w:tcPr>
            <w:tcW w:w="1733" w:type="dxa"/>
            <w:vAlign w:val="center"/>
            <w:textDirection w:val="lrTb"/>
            <w:noWrap w:val="false"/>
          </w:tcPr>
          <w:p>
            <w:pPr>
              <w:rPr>
                <w:rFonts w:ascii="宋体" w:hAnsi="宋体"/>
              </w:rPr>
            </w:pPr>
            <w:r>
              <w:rPr>
                <w:rFonts w:ascii="宋体" w:hAnsi="宋体"/>
              </w:rPr>
            </w:r>
            <w:r/>
          </w:p>
        </w:tc>
        <w:tc>
          <w:tcPr>
            <w:tcW w:w="2409" w:type="dxa"/>
            <w:vAlign w:val="center"/>
            <w:textDirection w:val="lrTb"/>
            <w:noWrap w:val="false"/>
          </w:tcPr>
          <w:p>
            <w:pPr>
              <w:rPr>
                <w:rFonts w:ascii="宋体" w:hAnsi="宋体"/>
              </w:rPr>
            </w:pPr>
            <w:r>
              <w:rPr>
                <w:rFonts w:ascii="宋体" w:hAnsi="宋体"/>
              </w:rPr>
            </w:r>
            <w:r/>
          </w:p>
        </w:tc>
        <w:tc>
          <w:tcPr>
            <w:tcW w:w="1985" w:type="dxa"/>
            <w:vAlign w:val="center"/>
            <w:textDirection w:val="lrTb"/>
            <w:noWrap w:val="false"/>
          </w:tcPr>
          <w:p>
            <w:pPr>
              <w:rPr>
                <w:rFonts w:ascii="宋体" w:hAnsi="宋体"/>
              </w:rPr>
            </w:pPr>
            <w:r>
              <w:rPr>
                <w:rFonts w:ascii="宋体" w:hAnsi="宋体"/>
              </w:rPr>
            </w:r>
            <w:r/>
          </w:p>
        </w:tc>
      </w:tr>
      <w:tr>
        <w:trPr>
          <w:cantSplit/>
          <w:trHeight w:val="580"/>
        </w:trPr>
        <w:tc>
          <w:tcPr>
            <w:tcW w:w="2683" w:type="dxa"/>
            <w:vAlign w:val="center"/>
            <w:textDirection w:val="lrTb"/>
            <w:noWrap w:val="false"/>
          </w:tcPr>
          <w:p>
            <w:pPr>
              <w:rPr>
                <w:rFonts w:ascii="宋体" w:hAnsi="宋体"/>
              </w:rPr>
            </w:pPr>
            <w:r>
              <w:rPr>
                <w:rFonts w:hint="eastAsia" w:ascii="宋体" w:hAnsi="宋体"/>
              </w:rPr>
              <w:t xml:space="preserve">合计</w:t>
            </w:r>
            <w:r/>
          </w:p>
        </w:tc>
        <w:tc>
          <w:tcPr>
            <w:gridSpan w:val="3"/>
            <w:tcW w:w="6127" w:type="dxa"/>
            <w:vAlign w:val="center"/>
            <w:textDirection w:val="lrTb"/>
            <w:noWrap w:val="false"/>
          </w:tcPr>
          <w:p>
            <w:pPr>
              <w:ind w:firstLine="3840"/>
              <w:rPr>
                <w:rFonts w:ascii="宋体" w:hAnsi="宋体"/>
              </w:rPr>
            </w:pPr>
            <w:r>
              <w:rPr>
                <w:rFonts w:hint="eastAsia" w:ascii="宋体" w:hAnsi="宋体" w:eastAsia="宋体" w:cs="宋体"/>
                <w:sz w:val="24"/>
                <w:szCs w:val="24"/>
                <w:highlight w:val="none"/>
              </w:rPr>
              <w:t xml:space="preserve">元/吨</w:t>
            </w:r>
            <w:r/>
          </w:p>
        </w:tc>
      </w:tr>
    </w:tbl>
    <w:p>
      <w:pPr>
        <w:pBdr>
          <w:top w:val="none" w:color="000000" w:sz="0" w:space="0"/>
          <w:left w:val="none" w:color="000000" w:sz="0" w:space="0"/>
          <w:bottom w:val="none" w:color="000000" w:sz="0" w:space="0"/>
          <w:right w:val="none" w:color="000000" w:sz="0" w:space="0"/>
        </w:pBdr>
      </w:p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tbl>
      <w:tblPr>
        <w:tblStyle w:val="771"/>
        <w:tblW w:w="899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415"/>
        <w:gridCol w:w="2831"/>
        <w:gridCol w:w="32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7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tbl>
      <w:tblPr>
        <w:tblStyle w:val="771"/>
        <w:tblW w:w="899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415"/>
        <w:gridCol w:w="2856"/>
        <w:gridCol w:w="32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6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被授权人身份证号码：</w:t>
      </w:r>
      <w:r>
        <w:rPr>
          <w:rFonts w:ascii="宋体" w:hAnsi="宋体" w:cs="宋体"/>
          <w:color w:val="000000"/>
          <w:sz w:val="24"/>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被授权人联系电话：（手机）</w:t>
      </w:r>
      <w:r>
        <w:rPr>
          <w:rFonts w:ascii="宋体" w:hAnsi="宋体" w:cs="宋体"/>
          <w:color w:val="000000"/>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单位地址：</w:t>
      </w:r>
      <w:r>
        <w:rPr>
          <w:rFonts w:ascii="宋体" w:hAnsi="宋体" w:cs="宋体"/>
          <w:color w:val="000000"/>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u w:val="single"/>
        </w:rPr>
        <w:t xml:space="preserve">           </w:t>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keepLines/>
        <w:keepNext/>
        <w:spacing w:before="260" w:after="260" w:line="416" w:lineRule="auto"/>
        <w:rPr>
          <w:rFonts w:ascii="宋体" w:hAnsi="宋体"/>
          <w:b/>
          <w:sz w:val="24"/>
          <w:szCs w:val="24"/>
        </w:rPr>
        <w:outlineLvl w:val="1"/>
      </w:pPr>
      <w:r>
        <w:rPr>
          <w:rFonts w:hint="eastAsia" w:ascii="宋体" w:hAnsi="宋体"/>
          <w:b/>
          <w:sz w:val="24"/>
          <w:szCs w:val="24"/>
        </w:rPr>
        <w:t xml:space="preserve">附件</w:t>
      </w:r>
      <w:r>
        <w:rPr>
          <w:rFonts w:ascii="宋体" w:hAnsi="宋体"/>
          <w:b/>
          <w:sz w:val="24"/>
          <w:szCs w:val="24"/>
        </w:rPr>
        <w:t xml:space="preserve">6</w:t>
      </w:r>
      <w:r>
        <w:rPr>
          <w:rFonts w:hint="eastAsia" w:ascii="宋体" w:hAnsi="宋体"/>
          <w:b/>
          <w:sz w:val="24"/>
          <w:szCs w:val="24"/>
        </w:rPr>
        <w:t xml:space="preserve"> 投标函</w:t>
      </w:r>
      <w:r/>
    </w:p>
    <w:p>
      <w:pPr>
        <w:jc w:val="left"/>
        <w:spacing w:line="420" w:lineRule="exact"/>
        <w:rPr>
          <w:rFonts w:ascii="宋体" w:hAnsi="宋体"/>
          <w:sz w:val="24"/>
          <w:szCs w:val="24"/>
        </w:rPr>
      </w:pPr>
      <w:r>
        <w:rPr>
          <w:rFonts w:hint="eastAsia" w:ascii="宋体" w:hAnsi="宋体"/>
          <w:sz w:val="24"/>
          <w:szCs w:val="24"/>
        </w:rPr>
        <w:t xml:space="preserve">致：扬州市公共资源交易中心邗江分中心：</w:t>
      </w:r>
      <w:r/>
    </w:p>
    <w:p>
      <w:pPr>
        <w:ind w:firstLine="480"/>
        <w:jc w:val="left"/>
        <w:spacing w:line="420" w:lineRule="exact"/>
        <w:rPr>
          <w:rFonts w:ascii="宋体" w:hAnsi="宋体"/>
          <w:sz w:val="24"/>
          <w:szCs w:val="24"/>
        </w:rPr>
      </w:pPr>
      <w:r>
        <w:rPr>
          <w:rFonts w:hint="eastAsia" w:ascii="宋体" w:hAnsi="宋体"/>
          <w:sz w:val="24"/>
          <w:szCs w:val="24"/>
        </w:rPr>
        <w:t xml:space="preserve">根据贵方的</w:t>
      </w:r>
      <w:r>
        <w:rPr>
          <w:rFonts w:ascii="宋体" w:hAnsi="宋体"/>
          <w:sz w:val="24"/>
          <w:szCs w:val="24"/>
          <w:u w:val="single"/>
        </w:rPr>
        <w:t xml:space="preserve">****</w:t>
      </w:r>
      <w:r>
        <w:rPr>
          <w:rFonts w:hint="eastAsia" w:ascii="宋体" w:hAnsi="宋体"/>
          <w:sz w:val="24"/>
          <w:szCs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sz w:val="24"/>
          <w:szCs w:val="24"/>
        </w:rPr>
      </w:pPr>
      <w:r>
        <w:rPr>
          <w:rFonts w:hint="eastAsia" w:ascii="宋体" w:hAnsi="宋体"/>
          <w:sz w:val="24"/>
          <w:szCs w:val="24"/>
        </w:rPr>
        <w:t xml:space="preserve">据此函，__________签字人兹宣布同意如下：</w:t>
      </w:r>
      <w:r/>
    </w:p>
    <w:p>
      <w:pPr>
        <w:ind w:firstLine="480"/>
        <w:jc w:val="left"/>
        <w:spacing w:line="420" w:lineRule="exact"/>
        <w:rPr>
          <w:rFonts w:ascii="宋体" w:hAnsi="宋体"/>
          <w:sz w:val="24"/>
          <w:szCs w:val="24"/>
        </w:rPr>
      </w:pPr>
      <w:r>
        <w:rPr>
          <w:rFonts w:hint="eastAsia" w:ascii="宋体" w:hAnsi="宋体"/>
          <w:sz w:val="24"/>
          <w:szCs w:val="24"/>
        </w:rPr>
        <w:t xml:space="preserve">1.按招标文件规定的各项要求，向买方提供所需货物（包含与货物相关的服务）。</w:t>
      </w:r>
      <w:r/>
    </w:p>
    <w:p>
      <w:pPr>
        <w:ind w:firstLine="480"/>
        <w:jc w:val="left"/>
        <w:spacing w:line="420" w:lineRule="exact"/>
        <w:rPr>
          <w:rFonts w:ascii="宋体" w:hAnsi="宋体"/>
          <w:sz w:val="24"/>
          <w:szCs w:val="24"/>
        </w:rPr>
      </w:pPr>
      <w:r>
        <w:rPr>
          <w:rFonts w:hint="eastAsia" w:ascii="宋体" w:hAnsi="宋体"/>
          <w:sz w:val="24"/>
          <w:szCs w:val="24"/>
        </w:rPr>
        <w:t xml:space="preserve">2.我们完全理解贵方不一定将合同授予最低报价的投标人。</w:t>
      </w:r>
      <w:r/>
    </w:p>
    <w:p>
      <w:pPr>
        <w:ind w:firstLine="480"/>
        <w:jc w:val="left"/>
        <w:spacing w:line="420" w:lineRule="exact"/>
        <w:rPr>
          <w:rFonts w:ascii="宋体" w:hAnsi="宋体"/>
          <w:sz w:val="24"/>
          <w:szCs w:val="24"/>
        </w:rPr>
      </w:pPr>
      <w:r>
        <w:rPr>
          <w:rFonts w:hint="eastAsia" w:ascii="宋体" w:hAnsi="宋体"/>
          <w:sz w:val="24"/>
          <w:szCs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4"/>
        </w:rPr>
      </w:pPr>
      <w:r>
        <w:rPr>
          <w:rFonts w:hint="eastAsia" w:ascii="宋体" w:hAnsi="宋体"/>
          <w:sz w:val="24"/>
          <w:szCs w:val="24"/>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.一旦我方中标,我方将根据招标文件的规定，严格履行合同的责任和义务,并保证在招标文件规定的时间完成项目，交付买方验收、使用。</w:t>
      </w:r>
      <w:r/>
    </w:p>
    <w:p>
      <w:pPr>
        <w:ind w:firstLine="480"/>
        <w:spacing w:line="4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7</w:t>
      </w:r>
      <w:r>
        <w:rPr>
          <w:rFonts w:hint="eastAsia" w:ascii="宋体" w:hAnsi="宋体"/>
          <w:sz w:val="24"/>
          <w:szCs w:val="24"/>
        </w:rPr>
        <w:t xml:space="preserve">.</w:t>
      </w:r>
      <w:r>
        <w:rPr>
          <w:rFonts w:ascii="宋体" w:hAnsi="宋体" w:cs="宋体"/>
          <w:sz w:val="24"/>
          <w:szCs w:val="24"/>
        </w:rPr>
        <w:t xml:space="preserve">我方为：□大型企业□中型企业□小型企业□微型企业（在对应□内打“</w:t>
      </w:r>
      <w:r>
        <w:rPr>
          <w:rFonts w:ascii="Arial" w:hAnsi="Arial" w:eastAsia="Arial" w:cs="Arial"/>
          <w:sz w:val="24"/>
          <w:szCs w:val="24"/>
        </w:rPr>
        <w:t xml:space="preserve">√</w:t>
      </w:r>
      <w:r>
        <w:rPr>
          <w:rFonts w:ascii="宋体" w:hAnsi="宋体" w:cs="宋体"/>
          <w:sz w:val="24"/>
          <w:szCs w:val="24"/>
        </w:rPr>
        <w:t xml:space="preserve">”）</w:t>
      </w:r>
      <w:r/>
    </w:p>
    <w:p>
      <w:pPr>
        <w:ind w:left="425"/>
        <w:jc w:val="left"/>
        <w:spacing w:line="420" w:lineRule="exact"/>
        <w:rPr>
          <w:rFonts w:ascii="宋体" w:hAnsi="宋体"/>
          <w:sz w:val="24"/>
          <w:szCs w:val="24"/>
        </w:rPr>
      </w:pPr>
      <w:r>
        <w:rPr>
          <w:rFonts w:hint="eastAsia" w:ascii="宋体" w:hAnsi="宋体"/>
          <w:sz w:val="24"/>
          <w:szCs w:val="24"/>
        </w:rPr>
        <w:t xml:space="preserve">8.与本投标有关的正式通讯地址为：</w:t>
      </w:r>
      <w:r/>
    </w:p>
    <w:p>
      <w:pPr>
        <w:ind w:left="420" w:firstLine="480"/>
        <w:jc w:val="left"/>
        <w:spacing w:line="420" w:lineRule="exact"/>
        <w:rPr>
          <w:rFonts w:ascii="宋体" w:hAnsi="宋体"/>
          <w:sz w:val="24"/>
          <w:szCs w:val="24"/>
        </w:rPr>
      </w:pPr>
      <w:r>
        <w:rPr>
          <w:rFonts w:hint="eastAsia" w:ascii="宋体" w:hAnsi="宋体"/>
          <w:sz w:val="24"/>
          <w:szCs w:val="24"/>
        </w:rPr>
        <w:t xml:space="preserve">地        址：</w:t>
      </w:r>
      <w:r/>
    </w:p>
    <w:p>
      <w:pPr>
        <w:ind w:left="420" w:firstLine="480"/>
        <w:jc w:val="left"/>
        <w:spacing w:line="420" w:lineRule="exact"/>
        <w:rPr>
          <w:rFonts w:ascii="宋体" w:hAnsi="宋体"/>
          <w:sz w:val="24"/>
          <w:szCs w:val="24"/>
        </w:rPr>
      </w:pPr>
      <w:r>
        <w:rPr>
          <w:rFonts w:hint="eastAsia" w:ascii="宋体" w:hAnsi="宋体"/>
          <w:sz w:val="24"/>
          <w:szCs w:val="24"/>
        </w:rPr>
        <w:t xml:space="preserve">邮        编：</w:t>
      </w:r>
      <w:r/>
    </w:p>
    <w:p>
      <w:pPr>
        <w:ind w:left="420" w:firstLine="480"/>
        <w:jc w:val="left"/>
        <w:spacing w:line="420" w:lineRule="exact"/>
        <w:rPr>
          <w:rFonts w:ascii="宋体" w:hAnsi="宋体"/>
          <w:sz w:val="24"/>
          <w:szCs w:val="24"/>
        </w:rPr>
      </w:pPr>
      <w:r>
        <w:rPr>
          <w:rFonts w:hint="eastAsia" w:ascii="宋体" w:hAnsi="宋体"/>
          <w:sz w:val="24"/>
          <w:szCs w:val="24"/>
        </w:rPr>
        <w:t xml:space="preserve">电        话：</w:t>
      </w:r>
      <w:r/>
    </w:p>
    <w:p>
      <w:pPr>
        <w:ind w:left="420" w:firstLine="480"/>
        <w:jc w:val="left"/>
        <w:spacing w:line="420" w:lineRule="exact"/>
        <w:rPr>
          <w:rFonts w:ascii="宋体" w:hAnsi="宋体"/>
          <w:sz w:val="24"/>
          <w:szCs w:val="24"/>
        </w:rPr>
      </w:pPr>
      <w:r>
        <w:rPr>
          <w:rFonts w:hint="eastAsia" w:ascii="宋体" w:hAnsi="宋体"/>
          <w:sz w:val="24"/>
          <w:szCs w:val="24"/>
        </w:rPr>
        <w:t xml:space="preserve">传        真：</w:t>
      </w:r>
      <w:r/>
    </w:p>
    <w:p>
      <w:pPr>
        <w:ind w:left="420" w:firstLine="480"/>
        <w:jc w:val="left"/>
        <w:spacing w:line="420" w:lineRule="exact"/>
        <w:rPr>
          <w:rFonts w:ascii="宋体" w:hAnsi="宋体"/>
          <w:sz w:val="24"/>
          <w:szCs w:val="24"/>
        </w:rPr>
      </w:pPr>
      <w:r>
        <w:rPr>
          <w:rFonts w:hint="eastAsia" w:ascii="宋体" w:hAnsi="宋体"/>
          <w:sz w:val="24"/>
          <w:szCs w:val="24"/>
        </w:rPr>
        <w:t xml:space="preserve">投标人开户行：</w:t>
      </w:r>
      <w:r/>
    </w:p>
    <w:p>
      <w:pPr>
        <w:ind w:left="420" w:firstLine="480"/>
        <w:jc w:val="left"/>
        <w:spacing w:line="420" w:lineRule="exact"/>
        <w:rPr>
          <w:rFonts w:ascii="宋体" w:hAnsi="宋体"/>
          <w:sz w:val="24"/>
          <w:szCs w:val="24"/>
        </w:rPr>
      </w:pPr>
      <w:r>
        <w:rPr>
          <w:rFonts w:hint="eastAsia" w:ascii="宋体" w:hAnsi="宋体"/>
          <w:sz w:val="24"/>
          <w:szCs w:val="24"/>
        </w:rPr>
        <w:t xml:space="preserve">账        号： </w:t>
      </w:r>
      <w:r/>
    </w:p>
    <w:p>
      <w:pPr>
        <w:ind w:left="420" w:firstLine="480"/>
        <w:jc w:val="left"/>
        <w:spacing w:line="420" w:lineRule="exact"/>
        <w:rPr>
          <w:rFonts w:ascii="宋体" w:hAnsi="宋体"/>
          <w:sz w:val="24"/>
          <w:szCs w:val="24"/>
        </w:rPr>
      </w:pPr>
      <w:r>
        <w:rPr>
          <w:rFonts w:hint="eastAsia" w:ascii="宋体" w:hAnsi="宋体"/>
          <w:sz w:val="24"/>
          <w:szCs w:val="24"/>
        </w:rPr>
        <w:t xml:space="preserve">日        期：______年____月____日</w:t>
      </w:r>
      <w:r/>
    </w:p>
    <w:p>
      <w:pPr>
        <w:rPr>
          <w:rFonts w:ascii="宋体" w:hAnsi="宋体"/>
          <w:b/>
          <w:sz w:val="24"/>
          <w:szCs w:val="24"/>
        </w:rPr>
      </w:pPr>
      <w:r>
        <w:rPr>
          <w:rFonts w:ascii="宋体" w:hAnsi="宋体"/>
          <w:b/>
          <w:sz w:val="24"/>
          <w:szCs w:val="24"/>
        </w:rPr>
      </w:r>
      <w:r/>
    </w:p>
    <w:p>
      <w:pPr>
        <w:pStyle w:val="748"/>
        <w:ind w:firstLine="240"/>
        <w:rPr>
          <w:rFonts w:ascii="宋体" w:hAnsi="宋体"/>
          <w:sz w:val="24"/>
          <w:szCs w:val="24"/>
        </w:rPr>
      </w:pPr>
      <w:r>
        <w:rPr>
          <w:rFonts w:ascii="宋体" w:hAnsi="宋体"/>
          <w:sz w:val="24"/>
          <w:szCs w:val="24"/>
        </w:rPr>
      </w:r>
      <w:r/>
    </w:p>
    <w:p>
      <w:pPr>
        <w:pStyle w:val="748"/>
        <w:ind w:firstLine="240"/>
        <w:rPr>
          <w:rFonts w:ascii="宋体" w:hAnsi="宋体"/>
          <w:sz w:val="24"/>
          <w:szCs w:val="24"/>
        </w:rPr>
      </w:pPr>
      <w:r>
        <w:rPr>
          <w:rFonts w:ascii="宋体" w:hAnsi="宋体"/>
          <w:sz w:val="24"/>
          <w:szCs w:val="24"/>
        </w:rPr>
      </w:r>
      <w:r/>
    </w:p>
    <w:p>
      <w:pPr>
        <w:rPr>
          <w:rFonts w:ascii="宋体" w:hAnsi="宋体" w:cs="宋体"/>
          <w:sz w:val="24"/>
          <w:szCs w:val="24"/>
        </w:rPr>
      </w:pPr>
      <w:r>
        <w:rPr>
          <w:rFonts w:hint="eastAsia" w:ascii="宋体" w:hAnsi="宋体" w:cs="宋体"/>
          <w:sz w:val="24"/>
          <w:szCs w:val="24"/>
        </w:rPr>
        <w:br w:type="page" w:clear="all"/>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771"/>
        <w:tblW w:w="5951" w:type="dxa"/>
        <w:tblInd w:w="77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7"/>
        <w:gridCol w:w="29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7"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w:t>
      </w:r>
      <w:r>
        <w:rPr>
          <w:rFonts w:ascii="宋体" w:hAnsi="宋体" w:cs="宋体"/>
          <w:color w:val="000000"/>
          <w:sz w:val="24"/>
        </w:rPr>
        <w:t xml:space="preserve">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本公司（联合体）郑重声明，根据《政府采购促进中小企业发展管理办法》(财库[2020]46号)的规定，本公司（联合体）参加扬州市公共资源交易中心邗江分中心组织的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olor w:val="ff0000"/>
          <w:sz w:val="24"/>
          <w:szCs w:val="24"/>
          <w:u w:val="single"/>
        </w:rPr>
        <w:t xml:space="preserve">其他未列明行业</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771"/>
        <w:tblW w:w="89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738"/>
        <w:gridCol w:w="950"/>
        <w:gridCol w:w="1937"/>
        <w:gridCol w:w="1763"/>
        <w:gridCol w:w="152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w:t>
      </w:r>
      <w:r>
        <w:rPr>
          <w:rFonts w:ascii="宋体" w:hAnsi="宋体" w:cs="宋体"/>
          <w:color w:val="000000"/>
          <w:sz w:val="24"/>
          <w:u w:val="single"/>
        </w:rPr>
        <w:t xml:space="preserve">     </w:t>
      </w:r>
      <w:r>
        <w:rPr>
          <w:rFonts w:ascii="宋体" w:hAnsi="宋体" w:cs="宋体"/>
          <w:color w:val="000000"/>
          <w:sz w:val="24"/>
        </w:rPr>
        <w:t xml:space="preserve">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w:t>
      </w:r>
      <w:r>
        <w:rPr>
          <w:rFonts w:hint="eastAsia" w:ascii="宋体" w:hAnsi="宋体" w:cs="宋体"/>
          <w:color w:val="000000"/>
          <w:sz w:val="24"/>
          <w:lang w:val="en-US" w:eastAsia="zh-CN"/>
        </w:rPr>
        <w:t xml:space="preserve">邗江分中心</w:t>
      </w:r>
      <w:r>
        <w:rPr>
          <w:rFonts w:ascii="宋体" w:hAnsi="宋体" w:cs="宋体"/>
          <w:color w:val="000000"/>
          <w:sz w:val="24"/>
        </w:rPr>
        <w:t xml:space="preserve">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bookmarkStart w:id="18" w:name="_GoBack"/>
      <w:r/>
      <w:bookmarkEnd w:id="18"/>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38"/>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rPr>
          <w:rFonts w:eastAsia="Times New Roman"/>
          <w:color w:val="000000"/>
        </w:rPr>
      </w:pPr>
      <w:r>
        <w:rPr>
          <w:rFonts w:eastAsia="Times New Roman"/>
          <w:color w:val="000000"/>
        </w:rPr>
      </w:r>
      <w:r/>
    </w:p>
    <w:p>
      <w:pPr>
        <w:pStyle w:val="738"/>
      </w:p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771"/>
        <w:tblW w:w="897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3846"/>
        <w:gridCol w:w="2263"/>
        <w:gridCol w:w="24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4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1"/>
        <w:rFonts w:ascii="宋体" w:hAnsi="宋体"/>
      </w:rPr>
      <w:framePr w:wrap="around" w:vAnchor="text" w:hAnchor="margin" w:xAlign="center" w:y="1"/>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55</w:t>
    </w:r>
    <w:r>
      <w:rPr>
        <w:rFonts w:ascii="宋体" w:hAnsi="宋体"/>
      </w:rPr>
      <w:fldChar w:fldCharType="end"/>
    </w:r>
    <w:r/>
  </w:p>
  <w:p>
    <w:pPr>
      <w:pStyle w:val="96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60"/>
                            <w:rPr>
                              <w:rStyle w:val="981"/>
                              <w:rFonts w:ascii="宋体" w:hAnsi="宋体"/>
                            </w:rPr>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58</w:t>
                          </w:r>
                          <w:r>
                            <w:rPr>
                              <w:rFonts w:ascii="宋体" w:hAnsi="宋体"/>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rPr>
                        <w:rStyle w:val="981"/>
                        <w:rFonts w:ascii="宋体" w:hAnsi="宋体"/>
                      </w:rPr>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58</w:t>
                    </w:r>
                    <w:r>
                      <w:rPr>
                        <w:rFonts w:ascii="宋体" w:hAnsi="宋体"/>
                      </w:rP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57"/>
                          </w:pPr>
                          <w:r>
                            <w:fldChar w:fldCharType="begin"/>
                          </w:r>
                          <w:r>
                            <w:instrText xml:space="preserve"> PAGE  \* MERGEFORMAT </w:instrText>
                          </w:r>
                          <w:r>
                            <w:fldChar w:fldCharType="separate"/>
                          </w:r>
                          <w:r>
                            <w:t xml:space="preserve">59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5"/>
      <w:isLgl w:val="false"/>
      <w:suff w:val="nothing"/>
      <w:lvlText w:val=""/>
      <w:lvlJc w:val="left"/>
      <w:pPr>
        <w:ind w:left="0" w:firstLine="0"/>
      </w:pPr>
      <w:rPr>
        <w:rFonts w:hint="eastAsia"/>
      </w:rPr>
    </w:lvl>
    <w:lvl w:ilvl="6">
      <w:start w:val="1"/>
      <w:numFmt w:val="decimal"/>
      <w:pStyle w:val="946"/>
      <w:isLgl w:val="false"/>
      <w:suff w:val="nothing"/>
      <w:lvlText w:val=""/>
      <w:lvlJc w:val="left"/>
      <w:pPr>
        <w:ind w:left="0" w:firstLine="0"/>
      </w:pPr>
      <w:rPr>
        <w:rFonts w:hint="eastAsia"/>
      </w:rPr>
    </w:lvl>
    <w:lvl w:ilvl="7">
      <w:start w:val="1"/>
      <w:numFmt w:val="decimal"/>
      <w:pStyle w:val="947"/>
      <w:isLgl w:val="false"/>
      <w:suff w:val="nothing"/>
      <w:lvlText w:val=""/>
      <w:lvlJc w:val="left"/>
      <w:pPr>
        <w:ind w:left="0" w:firstLine="0"/>
      </w:pPr>
      <w:rPr>
        <w:rFonts w:hint="eastAsia"/>
      </w:rPr>
    </w:lvl>
    <w:lvl w:ilvl="8">
      <w:start w:val="1"/>
      <w:numFmt w:val="decimal"/>
      <w:pStyle w:val="948"/>
      <w:isLgl w:val="false"/>
      <w:suff w:val="nothing"/>
      <w:lvlText w:val=""/>
      <w:lvlJc w:val="left"/>
      <w:pPr>
        <w:ind w:left="0" w:firstLine="0"/>
      </w:pPr>
      <w:rPr>
        <w:rFonts w:hint="eastAsia"/>
      </w:rPr>
    </w:lvl>
  </w:abstractNum>
  <w:abstractNum w:abstractNumId="5">
    <w:multiLevelType w:val="hybridMultilevel"/>
    <w:lvl w:ilvl="0">
      <w:start w:val="1"/>
      <w:numFmt w:val="decimal"/>
      <w:pStyle w:val="10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3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6">
    <w:name w:val="Heading 1"/>
    <w:basedOn w:val="735"/>
    <w:next w:val="735"/>
    <w:link w:val="974"/>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792"/>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link w:val="793"/>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35"/>
    <w:link w:val="794"/>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795"/>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link w:val="796"/>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798"/>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799"/>
    <w:uiPriority w:val="9"/>
    <w:unhideWhenUsed/>
    <w:qFormat/>
    <w:pPr>
      <w:keepLines/>
      <w:keepNext/>
      <w:spacing w:before="320" w:after="200"/>
      <w:outlineLvl w:val="8"/>
    </w:pPr>
    <w:rPr>
      <w:rFonts w:ascii="Arial" w:hAnsi="Arial" w:eastAsia="Arial" w:cs="Arial"/>
      <w:i/>
      <w:iCs/>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Layout w:type="fixed"/>
      <w:tblCellMar>
        <w:left w:w="108" w:type="dxa"/>
        <w:top w:w="0" w:type="dxa"/>
        <w:right w:w="108" w:type="dxa"/>
        <w:bottom w:w="0" w:type="dxa"/>
      </w:tblCellMar>
    </w:tblPr>
  </w:style>
  <w:style w:type="paragraph" w:styleId="747">
    <w:name w:val="toc 7"/>
    <w:basedOn w:val="735"/>
    <w:next w:val="735"/>
    <w:uiPriority w:val="39"/>
    <w:unhideWhenUsed/>
    <w:qFormat/>
    <w:pPr>
      <w:ind w:left="1701"/>
      <w:spacing w:after="57"/>
    </w:pPr>
  </w:style>
  <w:style w:type="paragraph" w:styleId="748">
    <w:name w:val="Body Text First Indent"/>
    <w:basedOn w:val="749"/>
    <w:next w:val="735"/>
    <w:uiPriority w:val="99"/>
    <w:unhideWhenUsed/>
    <w:qFormat/>
    <w:pPr>
      <w:ind w:firstLine="100"/>
    </w:pPr>
  </w:style>
  <w:style w:type="paragraph" w:styleId="749">
    <w:name w:val="Body Text"/>
    <w:basedOn w:val="735"/>
    <w:next w:val="735"/>
    <w:uiPriority w:val="1"/>
    <w:unhideWhenUsed/>
    <w:qFormat/>
    <w:pPr>
      <w:spacing w:after="120"/>
    </w:pPr>
  </w:style>
  <w:style w:type="paragraph" w:styleId="750">
    <w:name w:val="Normal Indent"/>
    <w:basedOn w:val="735"/>
    <w:next w:val="735"/>
    <w:uiPriority w:val="0"/>
    <w:qFormat/>
    <w:pPr>
      <w:ind w:firstLine="420"/>
    </w:pPr>
    <w:rPr>
      <w:sz w:val="20"/>
    </w:rPr>
  </w:style>
  <w:style w:type="paragraph" w:styleId="751">
    <w:name w:val="Caption"/>
    <w:basedOn w:val="735"/>
    <w:next w:val="735"/>
    <w:uiPriority w:val="35"/>
    <w:semiHidden/>
    <w:unhideWhenUsed/>
    <w:qFormat/>
    <w:pPr>
      <w:spacing w:line="276" w:lineRule="auto"/>
    </w:pPr>
    <w:rPr>
      <w:b/>
      <w:bCs/>
      <w:color w:val="4f81bd" w:themeColor="accent1"/>
      <w:sz w:val="18"/>
      <w:szCs w:val="18"/>
    </w:rPr>
  </w:style>
  <w:style w:type="paragraph" w:styleId="752">
    <w:name w:val="toc 5"/>
    <w:basedOn w:val="735"/>
    <w:next w:val="735"/>
    <w:uiPriority w:val="39"/>
    <w:unhideWhenUsed/>
    <w:qFormat/>
    <w:pPr>
      <w:ind w:left="1134"/>
      <w:spacing w:after="57"/>
    </w:pPr>
  </w:style>
  <w:style w:type="paragraph" w:styleId="753">
    <w:name w:val="toc 3"/>
    <w:basedOn w:val="735"/>
    <w:next w:val="735"/>
    <w:uiPriority w:val="39"/>
    <w:unhideWhenUsed/>
    <w:qFormat/>
    <w:pPr>
      <w:ind w:left="567"/>
      <w:spacing w:after="57"/>
    </w:pPr>
  </w:style>
  <w:style w:type="paragraph" w:styleId="754">
    <w:name w:val="Plain Text"/>
    <w:basedOn w:val="735"/>
    <w:next w:val="750"/>
    <w:uiPriority w:val="99"/>
    <w:qFormat/>
    <w:rPr>
      <w:rFonts w:ascii="宋体" w:hAnsi="Courier New"/>
      <w:sz w:val="20"/>
    </w:rPr>
  </w:style>
  <w:style w:type="paragraph" w:styleId="755">
    <w:name w:val="toc 8"/>
    <w:basedOn w:val="735"/>
    <w:next w:val="735"/>
    <w:uiPriority w:val="39"/>
    <w:unhideWhenUsed/>
    <w:qFormat/>
    <w:pPr>
      <w:ind w:left="1984"/>
      <w:spacing w:after="57"/>
    </w:pPr>
  </w:style>
  <w:style w:type="paragraph" w:styleId="756">
    <w:name w:val="endnote text"/>
    <w:basedOn w:val="735"/>
    <w:link w:val="937"/>
    <w:uiPriority w:val="99"/>
    <w:semiHidden/>
    <w:unhideWhenUsed/>
    <w:qFormat/>
    <w:rPr>
      <w:sz w:val="20"/>
    </w:rPr>
  </w:style>
  <w:style w:type="paragraph" w:styleId="757">
    <w:name w:val="Footer"/>
    <w:basedOn w:val="735"/>
    <w:link w:val="810"/>
    <w:uiPriority w:val="99"/>
    <w:unhideWhenUsed/>
    <w:qFormat/>
    <w:pPr>
      <w:tabs>
        <w:tab w:val="center" w:pos="7143" w:leader="none"/>
        <w:tab w:val="right" w:pos="14287" w:leader="none"/>
      </w:tabs>
    </w:pPr>
  </w:style>
  <w:style w:type="paragraph" w:styleId="758">
    <w:name w:val="Header"/>
    <w:basedOn w:val="735"/>
    <w:link w:val="808"/>
    <w:uiPriority w:val="99"/>
    <w:unhideWhenUsed/>
    <w:qFormat/>
    <w:pPr>
      <w:tabs>
        <w:tab w:val="center" w:pos="7143" w:leader="none"/>
        <w:tab w:val="right" w:pos="14287" w:leader="none"/>
      </w:tabs>
    </w:pPr>
  </w:style>
  <w:style w:type="paragraph" w:styleId="759">
    <w:name w:val="toc 1"/>
    <w:basedOn w:val="735"/>
    <w:next w:val="735"/>
    <w:uiPriority w:val="39"/>
    <w:unhideWhenUsed/>
    <w:qFormat/>
    <w:pPr>
      <w:spacing w:after="57"/>
    </w:pPr>
  </w:style>
  <w:style w:type="paragraph" w:styleId="760">
    <w:name w:val="toc 4"/>
    <w:basedOn w:val="735"/>
    <w:next w:val="735"/>
    <w:uiPriority w:val="39"/>
    <w:unhideWhenUsed/>
    <w:qFormat/>
    <w:pPr>
      <w:ind w:left="850"/>
      <w:spacing w:after="57"/>
    </w:pPr>
  </w:style>
  <w:style w:type="paragraph" w:styleId="761">
    <w:name w:val="Subtitle"/>
    <w:basedOn w:val="735"/>
    <w:next w:val="735"/>
    <w:link w:val="803"/>
    <w:uiPriority w:val="11"/>
    <w:qFormat/>
    <w:pPr>
      <w:spacing w:before="200" w:after="200"/>
    </w:pPr>
    <w:rPr>
      <w:sz w:val="24"/>
      <w:szCs w:val="24"/>
    </w:rPr>
  </w:style>
  <w:style w:type="paragraph" w:styleId="762">
    <w:name w:val="footnote text"/>
    <w:basedOn w:val="735"/>
    <w:link w:val="936"/>
    <w:uiPriority w:val="99"/>
    <w:semiHidden/>
    <w:unhideWhenUsed/>
    <w:qFormat/>
    <w:pPr>
      <w:spacing w:after="40"/>
    </w:pPr>
    <w:rPr>
      <w:sz w:val="18"/>
    </w:rPr>
  </w:style>
  <w:style w:type="paragraph" w:styleId="763">
    <w:name w:val="toc 6"/>
    <w:basedOn w:val="735"/>
    <w:next w:val="735"/>
    <w:uiPriority w:val="39"/>
    <w:unhideWhenUsed/>
    <w:qFormat/>
    <w:pPr>
      <w:ind w:left="1417"/>
      <w:spacing w:after="57"/>
    </w:pPr>
  </w:style>
  <w:style w:type="paragraph" w:styleId="764">
    <w:name w:val="table of figures"/>
    <w:basedOn w:val="735"/>
    <w:next w:val="735"/>
    <w:uiPriority w:val="99"/>
    <w:unhideWhenUsed/>
    <w:qFormat/>
  </w:style>
  <w:style w:type="paragraph" w:styleId="765">
    <w:name w:val="toc 2"/>
    <w:basedOn w:val="735"/>
    <w:next w:val="735"/>
    <w:uiPriority w:val="39"/>
    <w:unhideWhenUsed/>
    <w:qFormat/>
    <w:pPr>
      <w:ind w:left="283"/>
      <w:spacing w:after="57"/>
    </w:pPr>
  </w:style>
  <w:style w:type="paragraph" w:styleId="766">
    <w:name w:val="toc 9"/>
    <w:basedOn w:val="735"/>
    <w:next w:val="735"/>
    <w:uiPriority w:val="39"/>
    <w:unhideWhenUsed/>
    <w:qFormat/>
    <w:pPr>
      <w:ind w:left="2268"/>
      <w:spacing w:after="57"/>
    </w:pPr>
  </w:style>
  <w:style w:type="paragraph" w:styleId="767">
    <w:name w:val="Title"/>
    <w:basedOn w:val="735"/>
    <w:next w:val="735"/>
    <w:link w:val="802"/>
    <w:uiPriority w:val="10"/>
    <w:qFormat/>
    <w:pPr>
      <w:contextualSpacing/>
      <w:spacing w:before="300" w:after="200"/>
    </w:pPr>
    <w:rPr>
      <w:sz w:val="48"/>
      <w:szCs w:val="48"/>
    </w:r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rPr>
  </w:style>
  <w:style w:type="character" w:styleId="770">
    <w:name w:val="footnote reference"/>
    <w:uiPriority w:val="99"/>
    <w:unhideWhenUsed/>
    <w:qFormat/>
    <w:rPr>
      <w:vertAlign w:val="superscript"/>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72" w:customStyle="1">
    <w:name w:val="TOC Heading"/>
    <w:uiPriority w:val="39"/>
    <w:unhideWhenUsed/>
    <w:qFormat/>
    <w:rPr>
      <w:rFonts w:hint="default" w:ascii="Times New Roman" w:hAnsi="Times New Roman" w:eastAsia="宋体" w:cs="Times New Roman"/>
    </w:rPr>
  </w:style>
  <w:style w:type="character" w:styleId="773" w:customStyle="1">
    <w:name w:val="Heading 1 Char"/>
    <w:basedOn w:val="745"/>
    <w:uiPriority w:val="9"/>
    <w:qFormat/>
    <w:rPr>
      <w:rFonts w:ascii="Arial" w:hAnsi="Arial" w:eastAsia="Arial" w:cs="Arial"/>
      <w:sz w:val="40"/>
      <w:szCs w:val="40"/>
    </w:rPr>
  </w:style>
  <w:style w:type="character" w:styleId="774" w:customStyle="1">
    <w:name w:val="Heading 2 Char"/>
    <w:basedOn w:val="745"/>
    <w:uiPriority w:val="9"/>
    <w:qFormat/>
    <w:rPr>
      <w:rFonts w:ascii="Arial" w:hAnsi="Arial" w:eastAsia="Arial" w:cs="Arial"/>
      <w:sz w:val="34"/>
    </w:rPr>
  </w:style>
  <w:style w:type="character" w:styleId="775" w:customStyle="1">
    <w:name w:val="Heading 3 Char"/>
    <w:basedOn w:val="745"/>
    <w:uiPriority w:val="9"/>
    <w:qFormat/>
    <w:rPr>
      <w:rFonts w:ascii="Arial" w:hAnsi="Arial" w:eastAsia="Arial" w:cs="Arial"/>
      <w:sz w:val="30"/>
      <w:szCs w:val="30"/>
    </w:rPr>
  </w:style>
  <w:style w:type="character" w:styleId="776" w:customStyle="1">
    <w:name w:val="Heading 4 Char"/>
    <w:basedOn w:val="745"/>
    <w:uiPriority w:val="9"/>
    <w:qFormat/>
    <w:rPr>
      <w:rFonts w:ascii="Arial" w:hAnsi="Arial" w:eastAsia="Arial" w:cs="Arial"/>
      <w:b/>
      <w:bCs/>
      <w:sz w:val="26"/>
      <w:szCs w:val="26"/>
    </w:rPr>
  </w:style>
  <w:style w:type="character" w:styleId="777" w:customStyle="1">
    <w:name w:val="Heading 5 Char"/>
    <w:basedOn w:val="745"/>
    <w:uiPriority w:val="9"/>
    <w:qFormat/>
    <w:rPr>
      <w:rFonts w:ascii="Arial" w:hAnsi="Arial" w:eastAsia="Arial" w:cs="Arial"/>
      <w:b/>
      <w:bCs/>
      <w:sz w:val="24"/>
      <w:szCs w:val="24"/>
    </w:rPr>
  </w:style>
  <w:style w:type="character" w:styleId="778" w:customStyle="1">
    <w:name w:val="Heading 6 Char"/>
    <w:basedOn w:val="745"/>
    <w:uiPriority w:val="9"/>
    <w:qFormat/>
    <w:rPr>
      <w:rFonts w:ascii="Arial" w:hAnsi="Arial" w:eastAsia="Arial" w:cs="Arial"/>
      <w:b/>
      <w:bCs/>
      <w:sz w:val="22"/>
      <w:szCs w:val="22"/>
    </w:rPr>
  </w:style>
  <w:style w:type="character" w:styleId="779" w:customStyle="1">
    <w:name w:val="Heading 7 Char"/>
    <w:basedOn w:val="745"/>
    <w:uiPriority w:val="9"/>
    <w:qFormat/>
    <w:rPr>
      <w:rFonts w:ascii="Arial" w:hAnsi="Arial" w:eastAsia="Arial" w:cs="Arial"/>
      <w:b/>
      <w:bCs/>
      <w:i/>
      <w:iCs/>
      <w:sz w:val="22"/>
      <w:szCs w:val="22"/>
    </w:rPr>
  </w:style>
  <w:style w:type="character" w:styleId="780" w:customStyle="1">
    <w:name w:val="Heading 8 Char"/>
    <w:basedOn w:val="745"/>
    <w:uiPriority w:val="9"/>
    <w:qFormat/>
    <w:rPr>
      <w:rFonts w:ascii="Arial" w:hAnsi="Arial" w:eastAsia="Arial" w:cs="Arial"/>
      <w:i/>
      <w:iCs/>
      <w:sz w:val="22"/>
      <w:szCs w:val="22"/>
    </w:rPr>
  </w:style>
  <w:style w:type="character" w:styleId="781" w:customStyle="1">
    <w:name w:val="Heading 9 Char"/>
    <w:basedOn w:val="745"/>
    <w:uiPriority w:val="9"/>
    <w:qFormat/>
    <w:rPr>
      <w:rFonts w:ascii="Arial" w:hAnsi="Arial" w:eastAsia="Arial" w:cs="Arial"/>
      <w:i/>
      <w:iCs/>
      <w:sz w:val="21"/>
      <w:szCs w:val="21"/>
    </w:rPr>
  </w:style>
  <w:style w:type="character" w:styleId="782" w:customStyle="1">
    <w:name w:val="Title Char"/>
    <w:basedOn w:val="745"/>
    <w:uiPriority w:val="10"/>
    <w:qFormat/>
    <w:rPr>
      <w:sz w:val="48"/>
      <w:szCs w:val="48"/>
    </w:rPr>
  </w:style>
  <w:style w:type="character" w:styleId="783" w:customStyle="1">
    <w:name w:val="Subtitle Char"/>
    <w:basedOn w:val="745"/>
    <w:uiPriority w:val="11"/>
    <w:qFormat/>
    <w:rPr>
      <w:sz w:val="24"/>
      <w:szCs w:val="24"/>
    </w:rPr>
  </w:style>
  <w:style w:type="character" w:styleId="784" w:customStyle="1">
    <w:name w:val="Quote Char"/>
    <w:uiPriority w:val="29"/>
    <w:qFormat/>
    <w:rPr>
      <w:i/>
    </w:rPr>
  </w:style>
  <w:style w:type="character" w:styleId="785" w:customStyle="1">
    <w:name w:val="Intense Quote Char"/>
    <w:uiPriority w:val="30"/>
    <w:qFormat/>
    <w:rPr>
      <w:i/>
    </w:rPr>
  </w:style>
  <w:style w:type="character" w:styleId="786" w:customStyle="1">
    <w:name w:val="Header Char"/>
    <w:basedOn w:val="745"/>
    <w:uiPriority w:val="99"/>
    <w:qFormat/>
  </w:style>
  <w:style w:type="character" w:styleId="787" w:customStyle="1">
    <w:name w:val="Caption Char"/>
    <w:uiPriority w:val="99"/>
    <w:qFormat/>
  </w:style>
  <w:style w:type="character" w:styleId="788" w:customStyle="1">
    <w:name w:val="Footnote Text Char"/>
    <w:uiPriority w:val="99"/>
    <w:qFormat/>
    <w:rPr>
      <w:sz w:val="18"/>
    </w:rPr>
  </w:style>
  <w:style w:type="character" w:styleId="789" w:customStyle="1">
    <w:name w:val="Endnote Text Char"/>
    <w:uiPriority w:val="99"/>
    <w:qFormat/>
    <w:rPr>
      <w:sz w:val="20"/>
    </w:rPr>
  </w:style>
  <w:style w:type="paragraph" w:styleId="790" w:customStyle="1">
    <w:name w:val="TOC 标题1"/>
    <w:uiPriority w:val="39"/>
    <w:unhideWhenUsed/>
    <w:qFormat/>
    <w:rPr>
      <w:rFonts w:hint="default" w:ascii="Times New Roman" w:hAnsi="Times New Roman" w:eastAsia="宋体" w:cs="Times New Roman"/>
      <w:lang w:val="en-US" w:eastAsia="zh-CN" w:bidi="ar-SA"/>
    </w:rPr>
  </w:style>
  <w:style w:type="character" w:styleId="791" w:customStyle="1">
    <w:name w:val="标题 1 Char1"/>
    <w:link w:val="736"/>
    <w:uiPriority w:val="9"/>
    <w:qFormat/>
    <w:rPr>
      <w:rFonts w:ascii="Arial" w:hAnsi="Arial" w:eastAsia="Arial" w:cs="Arial"/>
      <w:sz w:val="40"/>
      <w:szCs w:val="40"/>
    </w:rPr>
  </w:style>
  <w:style w:type="character" w:styleId="792" w:customStyle="1">
    <w:name w:val="标题 2 Char1"/>
    <w:link w:val="737"/>
    <w:uiPriority w:val="9"/>
    <w:qFormat/>
    <w:rPr>
      <w:rFonts w:ascii="Arial" w:hAnsi="Arial" w:eastAsia="Arial" w:cs="Arial"/>
      <w:sz w:val="34"/>
    </w:rPr>
  </w:style>
  <w:style w:type="character" w:styleId="793" w:customStyle="1">
    <w:name w:val="标题 3 Char1"/>
    <w:link w:val="738"/>
    <w:uiPriority w:val="9"/>
    <w:qFormat/>
    <w:rPr>
      <w:rFonts w:ascii="Arial" w:hAnsi="Arial" w:eastAsia="Arial" w:cs="Arial"/>
      <w:sz w:val="30"/>
      <w:szCs w:val="30"/>
    </w:rPr>
  </w:style>
  <w:style w:type="character" w:styleId="794" w:customStyle="1">
    <w:name w:val="标题 4 Char1"/>
    <w:link w:val="739"/>
    <w:uiPriority w:val="9"/>
    <w:qFormat/>
    <w:rPr>
      <w:rFonts w:ascii="Arial" w:hAnsi="Arial" w:eastAsia="Arial" w:cs="Arial"/>
      <w:b/>
      <w:bCs/>
      <w:sz w:val="26"/>
      <w:szCs w:val="26"/>
    </w:rPr>
  </w:style>
  <w:style w:type="character" w:styleId="795" w:customStyle="1">
    <w:name w:val="标题 5 Char1"/>
    <w:link w:val="740"/>
    <w:uiPriority w:val="9"/>
    <w:qFormat/>
    <w:rPr>
      <w:rFonts w:ascii="Arial" w:hAnsi="Arial" w:eastAsia="Arial" w:cs="Arial"/>
      <w:b/>
      <w:bCs/>
      <w:sz w:val="24"/>
      <w:szCs w:val="24"/>
    </w:rPr>
  </w:style>
  <w:style w:type="character" w:styleId="796" w:customStyle="1">
    <w:name w:val="标题 6 Char1"/>
    <w:link w:val="741"/>
    <w:uiPriority w:val="9"/>
    <w:qFormat/>
    <w:rPr>
      <w:rFonts w:ascii="Arial" w:hAnsi="Arial" w:eastAsia="Arial" w:cs="Arial"/>
      <w:b/>
      <w:bCs/>
      <w:sz w:val="22"/>
      <w:szCs w:val="22"/>
    </w:rPr>
  </w:style>
  <w:style w:type="character" w:styleId="797" w:customStyle="1">
    <w:name w:val="标题 7 Char1"/>
    <w:link w:val="742"/>
    <w:uiPriority w:val="9"/>
    <w:qFormat/>
    <w:rPr>
      <w:rFonts w:ascii="Arial" w:hAnsi="Arial" w:eastAsia="Arial" w:cs="Arial"/>
      <w:b/>
      <w:bCs/>
      <w:i/>
      <w:iCs/>
      <w:sz w:val="22"/>
      <w:szCs w:val="22"/>
    </w:rPr>
  </w:style>
  <w:style w:type="character" w:styleId="798" w:customStyle="1">
    <w:name w:val="标题 8 Char1"/>
    <w:link w:val="743"/>
    <w:uiPriority w:val="9"/>
    <w:qFormat/>
    <w:rPr>
      <w:rFonts w:ascii="Arial" w:hAnsi="Arial" w:eastAsia="Arial" w:cs="Arial"/>
      <w:i/>
      <w:iCs/>
      <w:sz w:val="22"/>
      <w:szCs w:val="22"/>
    </w:rPr>
  </w:style>
  <w:style w:type="character" w:styleId="799" w:customStyle="1">
    <w:name w:val="标题 9 Char1"/>
    <w:link w:val="744"/>
    <w:uiPriority w:val="9"/>
    <w:qFormat/>
    <w:rPr>
      <w:rFonts w:ascii="Arial" w:hAnsi="Arial" w:eastAsia="Arial" w:cs="Arial"/>
      <w:i/>
      <w:iCs/>
      <w:sz w:val="21"/>
      <w:szCs w:val="21"/>
    </w:rPr>
  </w:style>
  <w:style w:type="paragraph" w:styleId="800">
    <w:name w:val="List Paragraph"/>
    <w:basedOn w:val="735"/>
    <w:uiPriority w:val="34"/>
    <w:qFormat/>
    <w:pPr>
      <w:contextualSpacing/>
      <w:ind w:left="720"/>
    </w:pPr>
  </w:style>
  <w:style w:type="paragraph" w:styleId="801">
    <w:name w:val="No Spacing"/>
    <w:uiPriority w:val="1"/>
    <w:qFormat/>
    <w:rPr>
      <w:rFonts w:hint="default" w:ascii="Times New Roman" w:hAnsi="Times New Roman" w:eastAsia="宋体" w:cs="Times New Roman"/>
      <w:lang w:val="en-US" w:eastAsia="zh-CN" w:bidi="ar-SA"/>
    </w:rPr>
  </w:style>
  <w:style w:type="character" w:styleId="802" w:customStyle="1">
    <w:name w:val="标题 Char"/>
    <w:link w:val="767"/>
    <w:uiPriority w:val="10"/>
    <w:qFormat/>
    <w:rPr>
      <w:sz w:val="48"/>
      <w:szCs w:val="48"/>
    </w:rPr>
  </w:style>
  <w:style w:type="character" w:styleId="803" w:customStyle="1">
    <w:name w:val="副标题 Char"/>
    <w:link w:val="761"/>
    <w:uiPriority w:val="11"/>
    <w:qFormat/>
    <w:rPr>
      <w:sz w:val="24"/>
      <w:szCs w:val="24"/>
    </w:rPr>
  </w:style>
  <w:style w:type="paragraph" w:styleId="804">
    <w:name w:val="Quote"/>
    <w:basedOn w:val="735"/>
    <w:next w:val="735"/>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735"/>
    <w:next w:val="735"/>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character" w:styleId="808" w:customStyle="1">
    <w:name w:val="页眉 Char1"/>
    <w:link w:val="758"/>
    <w:uiPriority w:val="99"/>
    <w:qFormat/>
  </w:style>
  <w:style w:type="character" w:styleId="809" w:customStyle="1">
    <w:name w:val="Footer Char"/>
    <w:link w:val="757"/>
    <w:uiPriority w:val="99"/>
    <w:qFormat/>
  </w:style>
  <w:style w:type="character" w:styleId="810" w:customStyle="1">
    <w:name w:val="页脚 Char1"/>
    <w:link w:val="757"/>
    <w:uiPriority w:val="99"/>
    <w:qFormat/>
  </w:style>
  <w:style w:type="table" w:styleId="8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1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1" w:customStyle="1">
    <w:name w:val="List Table 6 Colorful"/>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2"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3"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04"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5"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6"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7"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8" w:customStyle="1">
    <w:name w:val="List Table 7 Colorful"/>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Char"/>
    <w:link w:val="762"/>
    <w:uiPriority w:val="99"/>
    <w:qFormat/>
    <w:rPr>
      <w:sz w:val="18"/>
    </w:rPr>
  </w:style>
  <w:style w:type="character" w:styleId="937" w:customStyle="1">
    <w:name w:val="尾注文本 Char"/>
    <w:link w:val="756"/>
    <w:uiPriority w:val="99"/>
    <w:qFormat/>
    <w:rPr>
      <w:sz w:val="20"/>
    </w:rPr>
  </w:style>
  <w:style w:type="paragraph" w:styleId="938" w:customStyle="1">
    <w:name w:val="TOC 标题11"/>
    <w:uiPriority w:val="39"/>
    <w:unhideWhenUsed/>
    <w:qFormat/>
    <w:rPr>
      <w:rFonts w:hint="default" w:ascii="Times New Roman" w:hAnsi="Times New Roman" w:eastAsia="宋体" w:cs="Times New Roman"/>
      <w:lang w:val="en-US" w:eastAsia="zh-CN" w:bidi="ar-SA"/>
    </w:rPr>
  </w:style>
  <w:style w:type="paragraph" w:styleId="939" w:customStyle="1">
    <w:name w:val="标题 11"/>
    <w:basedOn w:val="735"/>
    <w:next w:val="735"/>
    <w:uiPriority w:val="0"/>
    <w:qFormat/>
    <w:pPr>
      <w:jc w:val="center"/>
      <w:keepNext/>
      <w:outlineLvl w:val="0"/>
    </w:pPr>
    <w:rPr>
      <w:rFonts w:ascii="楷体_GB2312" w:hAnsi="楷体_GB2312" w:eastAsia="黑体"/>
      <w:sz w:val="44"/>
      <w:szCs w:val="28"/>
    </w:rPr>
  </w:style>
  <w:style w:type="paragraph" w:styleId="940" w:customStyle="1">
    <w:name w:val="标题 21"/>
    <w:basedOn w:val="735"/>
    <w:next w:val="941"/>
    <w:link w:val="9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1" w:customStyle="1">
    <w:name w:val="正文缩进1"/>
    <w:basedOn w:val="735"/>
    <w:link w:val="980"/>
    <w:uiPriority w:val="0"/>
    <w:qFormat/>
    <w:pPr>
      <w:ind w:firstLine="420"/>
    </w:pPr>
  </w:style>
  <w:style w:type="paragraph" w:styleId="942" w:customStyle="1">
    <w:name w:val="标题 31"/>
    <w:basedOn w:val="735"/>
    <w:next w:val="941"/>
    <w:link w:val="951"/>
    <w:uiPriority w:val="0"/>
    <w:qFormat/>
    <w:pPr>
      <w:keepLines/>
      <w:keepNext/>
      <w:spacing w:before="260" w:after="260" w:line="416" w:lineRule="auto"/>
      <w:outlineLvl w:val="2"/>
    </w:pPr>
    <w:rPr>
      <w:b/>
      <w:bCs/>
      <w:sz w:val="32"/>
      <w:szCs w:val="32"/>
    </w:rPr>
  </w:style>
  <w:style w:type="paragraph" w:styleId="943" w:customStyle="1">
    <w:name w:val="标题 41"/>
    <w:basedOn w:val="735"/>
    <w:next w:val="941"/>
    <w:link w:val="994"/>
    <w:uiPriority w:val="0"/>
    <w:qFormat/>
    <w:pPr>
      <w:keepLines/>
      <w:keepNext/>
      <w:spacing w:before="280" w:after="290" w:line="376" w:lineRule="auto"/>
      <w:outlineLvl w:val="3"/>
    </w:pPr>
    <w:rPr>
      <w:rFonts w:ascii="Arial" w:hAnsi="Arial" w:eastAsia="黑体" w:cs="Arial"/>
      <w:b/>
      <w:bCs/>
      <w:sz w:val="28"/>
      <w:szCs w:val="28"/>
    </w:rPr>
  </w:style>
  <w:style w:type="paragraph" w:styleId="944" w:customStyle="1">
    <w:name w:val="标题 51"/>
    <w:basedOn w:val="735"/>
    <w:next w:val="941"/>
    <w:link w:val="986"/>
    <w:uiPriority w:val="0"/>
    <w:qFormat/>
    <w:pPr>
      <w:keepNext/>
      <w:outlineLvl w:val="4"/>
    </w:pPr>
    <w:rPr>
      <w:rFonts w:ascii="宋体"/>
      <w:color w:val="000000"/>
      <w:sz w:val="28"/>
      <w:szCs w:val="28"/>
    </w:rPr>
  </w:style>
  <w:style w:type="paragraph" w:styleId="945" w:customStyle="1">
    <w:name w:val="标题 61"/>
    <w:basedOn w:val="735"/>
    <w:next w:val="735"/>
    <w:link w:val="96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6" w:customStyle="1">
    <w:name w:val="标题 71"/>
    <w:basedOn w:val="735"/>
    <w:next w:val="735"/>
    <w:link w:val="982"/>
    <w:uiPriority w:val="0"/>
    <w:qFormat/>
    <w:pPr>
      <w:numPr>
        <w:ilvl w:val="6"/>
        <w:numId w:val="1"/>
      </w:numPr>
      <w:keepLines/>
      <w:keepNext/>
      <w:spacing w:before="240" w:after="64" w:line="320" w:lineRule="auto"/>
      <w:outlineLvl w:val="6"/>
    </w:pPr>
    <w:rPr>
      <w:b/>
      <w:bCs/>
      <w:sz w:val="24"/>
      <w:szCs w:val="24"/>
    </w:rPr>
  </w:style>
  <w:style w:type="paragraph" w:styleId="947" w:customStyle="1">
    <w:name w:val="标题 81"/>
    <w:basedOn w:val="735"/>
    <w:next w:val="735"/>
    <w:link w:val="100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8" w:customStyle="1">
    <w:name w:val="标题 91"/>
    <w:basedOn w:val="735"/>
    <w:next w:val="735"/>
    <w:link w:val="984"/>
    <w:uiPriority w:val="0"/>
    <w:qFormat/>
    <w:pPr>
      <w:numPr>
        <w:ilvl w:val="8"/>
        <w:numId w:val="1"/>
      </w:numPr>
      <w:keepLines/>
      <w:keepNext/>
      <w:spacing w:before="240" w:after="64" w:line="320" w:lineRule="auto"/>
      <w:outlineLvl w:val="8"/>
    </w:pPr>
    <w:rPr>
      <w:rFonts w:ascii="Arial" w:hAnsi="Arial" w:eastAsia="黑体"/>
    </w:rPr>
  </w:style>
  <w:style w:type="character" w:styleId="949" w:customStyle="1">
    <w:name w:val="默认段落字体1"/>
    <w:uiPriority w:val="1"/>
    <w:unhideWhenUsed/>
    <w:qFormat/>
  </w:style>
  <w:style w:type="table" w:styleId="950" w:customStyle="1">
    <w:name w:val="普通表格1"/>
    <w:uiPriority w:val="99"/>
    <w:unhideWhenUsed/>
    <w:qFormat/>
    <w:tblPr>
      <w:tblLayout w:type="fixed"/>
      <w:tblCellMar>
        <w:left w:w="0" w:type="dxa"/>
        <w:top w:w="0" w:type="dxa"/>
        <w:right w:w="0" w:type="dxa"/>
        <w:bottom w:w="0" w:type="dxa"/>
      </w:tblCellMar>
    </w:tblPr>
  </w:style>
  <w:style w:type="character" w:styleId="951" w:customStyle="1">
    <w:name w:val="标题 3 Char"/>
    <w:link w:val="942"/>
    <w:uiPriority w:val="0"/>
    <w:qFormat/>
    <w:rPr>
      <w:rFonts w:ascii="Times New Roman" w:hAnsi="Times New Roman" w:eastAsia="宋体" w:cs="Times New Roman"/>
      <w:b/>
      <w:bCs/>
      <w:sz w:val="32"/>
      <w:szCs w:val="32"/>
    </w:rPr>
  </w:style>
  <w:style w:type="character" w:styleId="952" w:customStyle="1">
    <w:name w:val="标题 2 Char"/>
    <w:link w:val="940"/>
    <w:uiPriority w:val="0"/>
    <w:qFormat/>
    <w:rPr>
      <w:rFonts w:ascii="Arial" w:hAnsi="Arial" w:eastAsia="幼圆" w:cs="Arial"/>
      <w:b/>
      <w:bCs/>
      <w:sz w:val="44"/>
      <w:szCs w:val="44"/>
    </w:rPr>
  </w:style>
  <w:style w:type="character" w:styleId="953" w:customStyle="1">
    <w:name w:val="批注引用1"/>
    <w:uiPriority w:val="0"/>
    <w:semiHidden/>
    <w:qFormat/>
    <w:rPr>
      <w:sz w:val="21"/>
      <w:szCs w:val="21"/>
    </w:rPr>
  </w:style>
  <w:style w:type="character" w:styleId="954" w:customStyle="1">
    <w:name w:val="纯文本 Char"/>
    <w:link w:val="955"/>
    <w:uiPriority w:val="0"/>
    <w:qFormat/>
    <w:rPr>
      <w:rFonts w:ascii="宋体" w:hAnsi="Courier New" w:eastAsia="宋体" w:cs="Courier New"/>
      <w:szCs w:val="21"/>
    </w:rPr>
  </w:style>
  <w:style w:type="paragraph" w:styleId="955" w:customStyle="1">
    <w:name w:val="纯文本1"/>
    <w:basedOn w:val="735"/>
    <w:link w:val="954"/>
    <w:uiPriority w:val="0"/>
    <w:qFormat/>
    <w:rPr>
      <w:rFonts w:ascii="宋体" w:hAnsi="Courier New" w:cs="Courier New"/>
    </w:rPr>
  </w:style>
  <w:style w:type="character" w:styleId="956" w:customStyle="1">
    <w:name w:val="文档结构图 Char"/>
    <w:link w:val="957"/>
    <w:uiPriority w:val="0"/>
    <w:semiHidden/>
    <w:qFormat/>
    <w:rPr>
      <w:rFonts w:ascii="Times New Roman" w:hAnsi="Times New Roman" w:eastAsia="宋体" w:cs="Times New Roman"/>
      <w:szCs w:val="21"/>
      <w:shd w:val="clear" w:color="auto" w:fill="000080"/>
    </w:rPr>
  </w:style>
  <w:style w:type="paragraph" w:styleId="957" w:customStyle="1">
    <w:name w:val="文档结构图1"/>
    <w:basedOn w:val="735"/>
    <w:link w:val="956"/>
    <w:uiPriority w:val="0"/>
    <w:semiHidden/>
    <w:qFormat/>
    <w:pPr>
      <w:shd w:val="clear" w:color="auto" w:fill="000080"/>
    </w:pPr>
  </w:style>
  <w:style w:type="character" w:styleId="958" w:customStyle="1">
    <w:name w:val="要点1"/>
    <w:uiPriority w:val="0"/>
    <w:qFormat/>
    <w:rPr>
      <w:b/>
      <w:bCs/>
    </w:rPr>
  </w:style>
  <w:style w:type="character" w:styleId="959" w:customStyle="1">
    <w:name w:val="页脚 Char"/>
    <w:link w:val="960"/>
    <w:uiPriority w:val="0"/>
    <w:qFormat/>
    <w:rPr>
      <w:rFonts w:ascii="Times New Roman" w:hAnsi="Times New Roman" w:eastAsia="宋体" w:cs="Times New Roman"/>
      <w:sz w:val="18"/>
      <w:szCs w:val="18"/>
    </w:rPr>
  </w:style>
  <w:style w:type="paragraph" w:styleId="960" w:customStyle="1">
    <w:name w:val="页脚1"/>
    <w:basedOn w:val="735"/>
    <w:link w:val="959"/>
    <w:uiPriority w:val="0"/>
    <w:qFormat/>
    <w:pPr>
      <w:jc w:val="left"/>
      <w:tabs>
        <w:tab w:val="center" w:pos="4153" w:leader="none"/>
        <w:tab w:val="right" w:pos="8306" w:leader="none"/>
      </w:tabs>
    </w:pPr>
    <w:rPr>
      <w:sz w:val="18"/>
      <w:szCs w:val="18"/>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735"/>
    <w:link w:val="961"/>
    <w:uiPriority w:val="0"/>
    <w:qFormat/>
    <w:pPr>
      <w:contextualSpacing/>
      <w:ind w:left="720"/>
      <w:jc w:val="left"/>
      <w:widowControl/>
    </w:pPr>
    <w:rPr>
      <w:rFonts w:ascii="Calibri" w:hAnsi="Calibri"/>
      <w:sz w:val="24"/>
      <w:szCs w:val="24"/>
      <w:lang w:eastAsia="en-US" w:bidi="en-US"/>
    </w:rPr>
  </w:style>
  <w:style w:type="character" w:styleId="963" w:customStyle="1">
    <w:name w:val="标题 6 Char"/>
    <w:link w:val="945"/>
    <w:uiPriority w:val="0"/>
    <w:qFormat/>
    <w:rPr>
      <w:rFonts w:ascii="Arial" w:hAnsi="Arial" w:eastAsia="黑体" w:cs="Times New Roman"/>
      <w:b/>
      <w:bCs/>
      <w:sz w:val="24"/>
      <w:szCs w:val="24"/>
    </w:rPr>
  </w:style>
  <w:style w:type="character" w:styleId="964" w:customStyle="1">
    <w:name w:val="批注主题 Char"/>
    <w:link w:val="965"/>
    <w:uiPriority w:val="0"/>
    <w:semiHidden/>
    <w:qFormat/>
    <w:rPr>
      <w:rFonts w:ascii="Times New Roman" w:hAnsi="Times New Roman" w:eastAsia="宋体" w:cs="Times New Roman"/>
      <w:b/>
      <w:bCs/>
      <w:szCs w:val="21"/>
    </w:rPr>
  </w:style>
  <w:style w:type="paragraph" w:styleId="965" w:customStyle="1">
    <w:name w:val="批注主题1"/>
    <w:basedOn w:val="966"/>
    <w:next w:val="966"/>
    <w:link w:val="964"/>
    <w:uiPriority w:val="0"/>
    <w:semiHidden/>
    <w:qFormat/>
    <w:rPr>
      <w:b/>
      <w:bCs/>
    </w:rPr>
  </w:style>
  <w:style w:type="paragraph" w:styleId="966" w:customStyle="1">
    <w:name w:val="批注文字1"/>
    <w:basedOn w:val="735"/>
    <w:link w:val="985"/>
    <w:uiPriority w:val="0"/>
    <w:semiHidden/>
    <w:qFormat/>
    <w:pPr>
      <w:jc w:val="left"/>
    </w:pPr>
  </w:style>
  <w:style w:type="character" w:styleId="967" w:customStyle="1">
    <w:name w:val="正文文本 2 Char"/>
    <w:link w:val="968"/>
    <w:uiPriority w:val="0"/>
    <w:qFormat/>
    <w:rPr>
      <w:rFonts w:ascii="楷体_GB2312" w:hAnsi="Times New Roman" w:eastAsia="楷体_GB2312" w:cs="Times New Roman"/>
      <w:sz w:val="28"/>
      <w:szCs w:val="28"/>
    </w:rPr>
  </w:style>
  <w:style w:type="paragraph" w:styleId="968" w:customStyle="1">
    <w:name w:val="正文文本 21"/>
    <w:basedOn w:val="735"/>
    <w:link w:val="967"/>
    <w:uiPriority w:val="0"/>
    <w:qFormat/>
    <w:pPr>
      <w:jc w:val="center"/>
      <w:widowControl/>
    </w:pPr>
    <w:rPr>
      <w:rFonts w:ascii="楷体_GB2312" w:eastAsia="楷体_GB2312"/>
      <w:sz w:val="28"/>
      <w:szCs w:val="28"/>
    </w:rPr>
  </w:style>
  <w:style w:type="character" w:styleId="969" w:customStyle="1">
    <w:name w:val="正文首行缩进 Char"/>
    <w:link w:val="970"/>
    <w:uiPriority w:val="0"/>
    <w:qFormat/>
    <w:rPr>
      <w:rFonts w:ascii="仿宋_GB2312" w:hAnsi="Times New Roman" w:eastAsia="仿宋_GB2312" w:cs="Times New Roman"/>
      <w:sz w:val="30"/>
      <w:szCs w:val="30"/>
    </w:rPr>
  </w:style>
  <w:style w:type="paragraph" w:styleId="970" w:customStyle="1">
    <w:name w:val="正文首行缩进1"/>
    <w:basedOn w:val="735"/>
    <w:link w:val="969"/>
    <w:uiPriority w:val="0"/>
    <w:qFormat/>
    <w:pPr>
      <w:ind w:firstLine="200"/>
      <w:spacing w:line="360" w:lineRule="auto"/>
    </w:pPr>
    <w:rPr>
      <w:rFonts w:ascii="仿宋_GB2312" w:eastAsia="仿宋_GB2312"/>
      <w:sz w:val="30"/>
      <w:szCs w:val="30"/>
    </w:rPr>
  </w:style>
  <w:style w:type="character" w:styleId="971" w:customStyle="1">
    <w:name w:val="正文首行缩进 2 Char"/>
    <w:link w:val="972"/>
    <w:uiPriority w:val="0"/>
    <w:qFormat/>
    <w:rPr>
      <w:rFonts w:ascii="宋体" w:hAnsi="宋体" w:eastAsia="宋体" w:cs="Times New Roman"/>
      <w:sz w:val="32"/>
      <w:szCs w:val="20"/>
    </w:rPr>
  </w:style>
  <w:style w:type="paragraph" w:styleId="972" w:customStyle="1">
    <w:name w:val="正文首行缩进 21"/>
    <w:basedOn w:val="973"/>
    <w:link w:val="971"/>
    <w:uiPriority w:val="0"/>
    <w:qFormat/>
    <w:pPr>
      <w:ind w:firstLine="420"/>
      <w:spacing w:line="360" w:lineRule="auto"/>
    </w:pPr>
    <w:rPr>
      <w:rFonts w:ascii="宋体" w:hAnsi="宋体" w:eastAsia="宋体"/>
      <w:sz w:val="21"/>
      <w:szCs w:val="20"/>
    </w:rPr>
  </w:style>
  <w:style w:type="paragraph" w:styleId="973" w:customStyle="1">
    <w:name w:val="正文文本缩进1"/>
    <w:basedOn w:val="735"/>
    <w:link w:val="983"/>
    <w:uiPriority w:val="0"/>
    <w:qFormat/>
    <w:pPr>
      <w:ind w:firstLine="645"/>
    </w:pPr>
    <w:rPr>
      <w:rFonts w:ascii="楷体_GB2312" w:eastAsia="楷体_GB2312"/>
      <w:sz w:val="32"/>
      <w:szCs w:val="32"/>
    </w:rPr>
  </w:style>
  <w:style w:type="character" w:styleId="974" w:customStyle="1">
    <w:name w:val="标题 1 Char"/>
    <w:link w:val="736"/>
    <w:uiPriority w:val="0"/>
    <w:qFormat/>
    <w:rPr>
      <w:rFonts w:ascii="楷体_GB2312" w:hAnsi="楷体_GB2312" w:eastAsia="黑体" w:cs="Times New Roman"/>
      <w:sz w:val="44"/>
      <w:szCs w:val="28"/>
    </w:rPr>
  </w:style>
  <w:style w:type="character" w:styleId="975" w:customStyle="1">
    <w:name w:val="已访问的超链接1"/>
    <w:uiPriority w:val="0"/>
    <w:qFormat/>
    <w:rPr>
      <w:color w:val="800080"/>
      <w:u w:val="single"/>
    </w:rPr>
  </w:style>
  <w:style w:type="character" w:styleId="976" w:customStyle="1">
    <w:name w:val="正文文本 3 Char"/>
    <w:link w:val="977"/>
    <w:uiPriority w:val="0"/>
    <w:qFormat/>
    <w:rPr>
      <w:rFonts w:ascii="仿宋_GB2312" w:hAnsi="Arial" w:eastAsia="仿宋_GB2312" w:cs="Times New Roman"/>
      <w:sz w:val="32"/>
      <w:szCs w:val="32"/>
    </w:rPr>
  </w:style>
  <w:style w:type="paragraph" w:styleId="977" w:customStyle="1">
    <w:name w:val="正文文本 31"/>
    <w:basedOn w:val="735"/>
    <w:link w:val="976"/>
    <w:uiPriority w:val="0"/>
    <w:qFormat/>
    <w:rPr>
      <w:rFonts w:ascii="仿宋_GB2312" w:hAnsi="Arial" w:eastAsia="仿宋_GB2312"/>
      <w:sz w:val="32"/>
      <w:szCs w:val="32"/>
    </w:rPr>
  </w:style>
  <w:style w:type="character" w:styleId="978" w:customStyle="1">
    <w:name w:val="二级目录 Char"/>
    <w:link w:val="979"/>
    <w:uiPriority w:val="0"/>
    <w:qFormat/>
    <w:rPr>
      <w:b/>
      <w:sz w:val="30"/>
      <w:szCs w:val="28"/>
    </w:rPr>
  </w:style>
  <w:style w:type="paragraph" w:styleId="979" w:customStyle="1">
    <w:name w:val="二级目录"/>
    <w:next w:val="735"/>
    <w:link w:val="97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0" w:customStyle="1">
    <w:name w:val="正文缩进 Char"/>
    <w:link w:val="941"/>
    <w:uiPriority w:val="0"/>
    <w:qFormat/>
    <w:rPr>
      <w:rFonts w:ascii="Times New Roman" w:hAnsi="Times New Roman" w:eastAsia="宋体" w:cs="Times New Roman"/>
      <w:szCs w:val="21"/>
    </w:rPr>
  </w:style>
  <w:style w:type="character" w:styleId="981" w:customStyle="1">
    <w:name w:val="页码1"/>
    <w:uiPriority w:val="0"/>
    <w:qFormat/>
  </w:style>
  <w:style w:type="character" w:styleId="982" w:customStyle="1">
    <w:name w:val="标题 7 Char"/>
    <w:link w:val="946"/>
    <w:uiPriority w:val="0"/>
    <w:qFormat/>
    <w:rPr>
      <w:rFonts w:ascii="Times New Roman" w:hAnsi="Times New Roman" w:eastAsia="宋体" w:cs="Times New Roman"/>
      <w:b/>
      <w:bCs/>
      <w:sz w:val="24"/>
      <w:szCs w:val="24"/>
    </w:rPr>
  </w:style>
  <w:style w:type="character" w:styleId="983" w:customStyle="1">
    <w:name w:val="正文文本缩进 Char"/>
    <w:link w:val="973"/>
    <w:uiPriority w:val="0"/>
    <w:qFormat/>
    <w:rPr>
      <w:rFonts w:ascii="楷体_GB2312" w:hAnsi="Times New Roman" w:eastAsia="楷体_GB2312" w:cs="Times New Roman"/>
      <w:sz w:val="32"/>
      <w:szCs w:val="32"/>
    </w:rPr>
  </w:style>
  <w:style w:type="character" w:styleId="984" w:customStyle="1">
    <w:name w:val="标题 9 Char"/>
    <w:link w:val="948"/>
    <w:uiPriority w:val="0"/>
    <w:qFormat/>
    <w:rPr>
      <w:rFonts w:ascii="Arial" w:hAnsi="Arial" w:eastAsia="黑体" w:cs="Times New Roman"/>
      <w:szCs w:val="21"/>
    </w:rPr>
  </w:style>
  <w:style w:type="character" w:styleId="985" w:customStyle="1">
    <w:name w:val="批注文字 Char"/>
    <w:link w:val="966"/>
    <w:uiPriority w:val="0"/>
    <w:semiHidden/>
    <w:qFormat/>
    <w:rPr>
      <w:rFonts w:ascii="Times New Roman" w:hAnsi="Times New Roman" w:eastAsia="宋体" w:cs="Times New Roman"/>
      <w:szCs w:val="21"/>
    </w:rPr>
  </w:style>
  <w:style w:type="character" w:styleId="986" w:customStyle="1">
    <w:name w:val="标题 5 Char"/>
    <w:link w:val="944"/>
    <w:uiPriority w:val="0"/>
    <w:qFormat/>
    <w:rPr>
      <w:rFonts w:ascii="宋体" w:hAnsi="Times New Roman" w:eastAsia="宋体" w:cs="Times New Roman"/>
      <w:color w:val="000000"/>
      <w:sz w:val="28"/>
      <w:szCs w:val="28"/>
    </w:rPr>
  </w:style>
  <w:style w:type="character" w:styleId="987" w:customStyle="1">
    <w:name w:val="正文文本缩进 2 Char"/>
    <w:link w:val="988"/>
    <w:uiPriority w:val="0"/>
    <w:qFormat/>
    <w:rPr>
      <w:rFonts w:ascii="Arial" w:hAnsi="Arial" w:eastAsia="仿宋_GB2312" w:cs="Arial"/>
      <w:sz w:val="32"/>
      <w:szCs w:val="32"/>
    </w:rPr>
  </w:style>
  <w:style w:type="paragraph" w:styleId="988" w:customStyle="1">
    <w:name w:val="正文文本缩进 21"/>
    <w:basedOn w:val="735"/>
    <w:link w:val="987"/>
    <w:uiPriority w:val="0"/>
    <w:qFormat/>
    <w:pPr>
      <w:ind w:left="630" w:firstLine="645"/>
    </w:pPr>
    <w:rPr>
      <w:rFonts w:ascii="Arial" w:hAnsi="Arial" w:eastAsia="仿宋_GB2312" w:cs="Arial"/>
      <w:sz w:val="32"/>
      <w:szCs w:val="32"/>
    </w:rPr>
  </w:style>
  <w:style w:type="character" w:styleId="989" w:customStyle="1">
    <w:name w:val="日期 Char"/>
    <w:link w:val="990"/>
    <w:uiPriority w:val="0"/>
    <w:qFormat/>
    <w:rPr>
      <w:rFonts w:ascii="Times New Roman" w:hAnsi="Times New Roman" w:eastAsia="宋体" w:cs="Times New Roman"/>
      <w:sz w:val="24"/>
      <w:szCs w:val="24"/>
    </w:rPr>
  </w:style>
  <w:style w:type="paragraph" w:styleId="990" w:customStyle="1">
    <w:name w:val="日期1"/>
    <w:basedOn w:val="735"/>
    <w:next w:val="735"/>
    <w:link w:val="989"/>
    <w:uiPriority w:val="0"/>
    <w:qFormat/>
    <w:rPr>
      <w:sz w:val="24"/>
      <w:szCs w:val="24"/>
    </w:rPr>
  </w:style>
  <w:style w:type="character" w:styleId="991" w:customStyle="1">
    <w:name w:val="超链接1"/>
    <w:uiPriority w:val="0"/>
    <w:qFormat/>
    <w:rPr>
      <w:color w:val="0000ff"/>
      <w:u w:val="single"/>
    </w:rPr>
  </w:style>
  <w:style w:type="character" w:styleId="992" w:customStyle="1">
    <w:name w:val="批注框文本 Char"/>
    <w:link w:val="993"/>
    <w:uiPriority w:val="0"/>
    <w:semiHidden/>
    <w:qFormat/>
    <w:rPr>
      <w:rFonts w:ascii="Times New Roman" w:hAnsi="Times New Roman" w:eastAsia="宋体" w:cs="Times New Roman"/>
      <w:sz w:val="18"/>
      <w:szCs w:val="18"/>
    </w:rPr>
  </w:style>
  <w:style w:type="paragraph" w:styleId="993" w:customStyle="1">
    <w:name w:val="批注框文本1"/>
    <w:basedOn w:val="735"/>
    <w:link w:val="992"/>
    <w:uiPriority w:val="0"/>
    <w:semiHidden/>
    <w:qFormat/>
    <w:rPr>
      <w:sz w:val="18"/>
      <w:szCs w:val="18"/>
    </w:rPr>
  </w:style>
  <w:style w:type="character" w:styleId="994" w:customStyle="1">
    <w:name w:val="标题 4 Char"/>
    <w:link w:val="943"/>
    <w:uiPriority w:val="0"/>
    <w:qFormat/>
    <w:rPr>
      <w:rFonts w:ascii="Arial" w:hAnsi="Arial" w:eastAsia="黑体" w:cs="Arial"/>
      <w:b/>
      <w:bCs/>
      <w:sz w:val="28"/>
      <w:szCs w:val="28"/>
    </w:rPr>
  </w:style>
  <w:style w:type="character" w:styleId="995" w:customStyle="1">
    <w:name w:val="font5 Char"/>
    <w:uiPriority w:val="0"/>
    <w:qFormat/>
    <w:rPr>
      <w:rFonts w:ascii="宋体" w:hAnsi="宋体" w:eastAsia="宋体"/>
      <w:sz w:val="28"/>
      <w:szCs w:val="28"/>
      <w:lang w:val="en-US" w:eastAsia="zh-CN" w:bidi="ar-SA"/>
    </w:rPr>
  </w:style>
  <w:style w:type="character" w:styleId="996" w:customStyle="1">
    <w:name w:val="页眉 Char"/>
    <w:link w:val="997"/>
    <w:uiPriority w:val="0"/>
    <w:qFormat/>
    <w:rPr>
      <w:rFonts w:ascii="Times New Roman" w:hAnsi="Times New Roman" w:eastAsia="宋体" w:cs="Times New Roman"/>
      <w:sz w:val="18"/>
      <w:szCs w:val="18"/>
    </w:rPr>
  </w:style>
  <w:style w:type="paragraph" w:styleId="997" w:customStyle="1">
    <w:name w:val="页眉1"/>
    <w:basedOn w:val="735"/>
    <w:link w:val="996"/>
    <w:uiPriority w:val="0"/>
    <w:qFormat/>
    <w:pPr>
      <w:jc w:val="center"/>
      <w:tabs>
        <w:tab w:val="center" w:pos="4153" w:leader="none"/>
        <w:tab w:val="right" w:pos="8306" w:leader="none"/>
      </w:tabs>
      <w:pBdr>
        <w:bottom w:val="single" w:color="000000" w:sz="6" w:space="1"/>
      </w:pBdr>
    </w:pPr>
    <w:rPr>
      <w:sz w:val="18"/>
      <w:szCs w:val="18"/>
    </w:rPr>
  </w:style>
  <w:style w:type="character" w:styleId="998" w:customStyle="1">
    <w:name w:val="正文文本 Char"/>
    <w:link w:val="999"/>
    <w:uiPriority w:val="0"/>
    <w:qFormat/>
    <w:rPr>
      <w:rFonts w:ascii="楷体_GB2312" w:hAnsi="Arial" w:eastAsia="楷体_GB2312" w:cs="Times New Roman"/>
      <w:sz w:val="28"/>
      <w:szCs w:val="28"/>
    </w:rPr>
  </w:style>
  <w:style w:type="paragraph" w:styleId="999" w:customStyle="1">
    <w:name w:val="正文文本1"/>
    <w:basedOn w:val="735"/>
    <w:link w:val="998"/>
    <w:uiPriority w:val="0"/>
    <w:qFormat/>
    <w:rPr>
      <w:rFonts w:ascii="楷体_GB2312" w:hAnsi="Arial" w:eastAsia="楷体_GB2312"/>
      <w:sz w:val="28"/>
      <w:szCs w:val="28"/>
    </w:rPr>
  </w:style>
  <w:style w:type="character" w:styleId="1000" w:customStyle="1">
    <w:name w:val="正文文本缩进 3 Char"/>
    <w:link w:val="1001"/>
    <w:uiPriority w:val="0"/>
    <w:qFormat/>
    <w:rPr>
      <w:rFonts w:ascii="Arial" w:hAnsi="Arial" w:eastAsia="仿宋_GB2312" w:cs="Arial"/>
      <w:color w:val="ffff00"/>
      <w:sz w:val="32"/>
      <w:szCs w:val="32"/>
    </w:rPr>
  </w:style>
  <w:style w:type="paragraph" w:styleId="1001" w:customStyle="1">
    <w:name w:val="正文文本缩进 31"/>
    <w:basedOn w:val="735"/>
    <w:link w:val="1000"/>
    <w:uiPriority w:val="0"/>
    <w:qFormat/>
    <w:pPr>
      <w:ind w:left="645" w:firstLine="645"/>
    </w:pPr>
    <w:rPr>
      <w:rFonts w:ascii="Arial" w:hAnsi="Arial" w:eastAsia="仿宋_GB2312" w:cs="Arial"/>
      <w:color w:val="ffff00"/>
      <w:sz w:val="32"/>
      <w:szCs w:val="32"/>
    </w:rPr>
  </w:style>
  <w:style w:type="character" w:styleId="1002" w:customStyle="1">
    <w:name w:val="标题 8 Char"/>
    <w:link w:val="947"/>
    <w:uiPriority w:val="0"/>
    <w:qFormat/>
    <w:rPr>
      <w:rFonts w:ascii="Arial" w:hAnsi="Arial" w:eastAsia="黑体" w:cs="Times New Roman"/>
      <w:sz w:val="24"/>
      <w:szCs w:val="24"/>
    </w:rPr>
  </w:style>
  <w:style w:type="paragraph" w:styleId="1003" w:customStyle="1">
    <w:name w:val="xl25"/>
    <w:basedOn w:val="73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xl27"/>
    <w:basedOn w:val="7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customStyle="1">
    <w:name w:val="标题1"/>
    <w:basedOn w:val="735"/>
    <w:next w:val="73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6" w:customStyle="1">
    <w:name w:val="目录 31"/>
    <w:basedOn w:val="735"/>
    <w:next w:val="735"/>
    <w:uiPriority w:val="0"/>
    <w:semiHidden/>
    <w:qFormat/>
    <w:pPr>
      <w:ind w:left="420"/>
      <w:jc w:val="left"/>
    </w:pPr>
    <w:rPr>
      <w:i/>
      <w:iCs/>
      <w:szCs w:val="24"/>
    </w:rPr>
  </w:style>
  <w:style w:type="paragraph" w:styleId="1007" w:customStyle="1">
    <w:name w:val="font6"/>
    <w:basedOn w:val="735"/>
    <w:uiPriority w:val="0"/>
    <w:qFormat/>
    <w:pPr>
      <w:jc w:val="left"/>
      <w:spacing w:before="100" w:beforeAutospacing="1" w:after="100" w:afterAutospacing="1"/>
      <w:widowControl/>
    </w:pPr>
    <w:rPr>
      <w:rFonts w:hint="eastAsia" w:ascii="宋体" w:hAnsi="宋体"/>
      <w:sz w:val="28"/>
      <w:szCs w:val="28"/>
      <w:u w:val="single"/>
    </w:rPr>
  </w:style>
  <w:style w:type="paragraph" w:styleId="1008" w:customStyle="1">
    <w:name w:val="xl30"/>
    <w:basedOn w:val="735"/>
    <w:uiPriority w:val="0"/>
    <w:qFormat/>
    <w:pPr>
      <w:jc w:val="center"/>
      <w:spacing w:before="100" w:beforeAutospacing="1" w:after="100" w:afterAutospacing="1"/>
      <w:widowControl/>
    </w:pPr>
    <w:rPr>
      <w:rFonts w:ascii="宋体" w:hAnsi="宋体"/>
      <w:b/>
      <w:bCs/>
      <w:sz w:val="36"/>
      <w:szCs w:val="36"/>
    </w:rPr>
  </w:style>
  <w:style w:type="paragraph" w:styleId="1009" w:customStyle="1">
    <w:name w:val="font5"/>
    <w:basedOn w:val="735"/>
    <w:uiPriority w:val="0"/>
    <w:qFormat/>
    <w:pPr>
      <w:jc w:val="left"/>
      <w:spacing w:before="100" w:beforeAutospacing="1" w:after="100" w:afterAutospacing="1"/>
      <w:widowControl/>
    </w:pPr>
    <w:rPr>
      <w:rFonts w:hint="eastAsia" w:ascii="宋体" w:hAnsi="宋体"/>
      <w:sz w:val="28"/>
      <w:szCs w:val="28"/>
    </w:rPr>
  </w:style>
  <w:style w:type="paragraph" w:styleId="1010" w:customStyle="1">
    <w:name w:val="图标"/>
    <w:basedOn w:val="735"/>
    <w:next w:val="73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customStyle="1">
    <w:name w:val="列表 31"/>
    <w:basedOn w:val="735"/>
    <w:uiPriority w:val="0"/>
    <w:qFormat/>
    <w:pPr>
      <w:ind w:left="100" w:hanging="200"/>
    </w:pPr>
  </w:style>
  <w:style w:type="paragraph" w:styleId="1012" w:customStyle="1">
    <w:name w:val="列表1"/>
    <w:basedOn w:val="735"/>
    <w:uiPriority w:val="0"/>
    <w:qFormat/>
    <w:pPr>
      <w:ind w:left="200" w:hanging="200"/>
    </w:pPr>
  </w:style>
  <w:style w:type="paragraph" w:styleId="1013" w:customStyle="1">
    <w:name w:val="Char Char Char Char"/>
    <w:basedOn w:val="957"/>
    <w:uiPriority w:val="0"/>
    <w:qFormat/>
    <w:pPr>
      <w:spacing w:line="360" w:lineRule="auto"/>
    </w:pPr>
    <w:rPr>
      <w:rFonts w:ascii="Tahoma" w:hAnsi="Tahoma"/>
      <w:sz w:val="24"/>
      <w:szCs w:val="24"/>
    </w:rPr>
  </w:style>
  <w:style w:type="paragraph" w:styleId="1014" w:customStyle="1">
    <w:name w:val="目录 81"/>
    <w:basedOn w:val="735"/>
    <w:next w:val="735"/>
    <w:uiPriority w:val="0"/>
    <w:semiHidden/>
    <w:qFormat/>
    <w:pPr>
      <w:ind w:left="1470"/>
      <w:jc w:val="left"/>
    </w:pPr>
  </w:style>
  <w:style w:type="paragraph" w:styleId="101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16" w:customStyle="1">
    <w:name w:val="列表 21"/>
    <w:basedOn w:val="735"/>
    <w:uiPriority w:val="0"/>
    <w:qFormat/>
    <w:pPr>
      <w:ind w:left="100" w:hanging="200"/>
    </w:pPr>
  </w:style>
  <w:style w:type="paragraph" w:styleId="1017" w:customStyle="1">
    <w:name w:val="xl24"/>
    <w:basedOn w:val="7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目录 51"/>
    <w:basedOn w:val="735"/>
    <w:next w:val="735"/>
    <w:uiPriority w:val="0"/>
    <w:semiHidden/>
    <w:qFormat/>
    <w:pPr>
      <w:ind w:left="840"/>
      <w:jc w:val="left"/>
    </w:pPr>
  </w:style>
  <w:style w:type="paragraph" w:styleId="1019" w:customStyle="1">
    <w:name w:val="普通(网站)1"/>
    <w:basedOn w:val="735"/>
    <w:uiPriority w:val="99"/>
    <w:qFormat/>
    <w:pPr>
      <w:jc w:val="left"/>
      <w:spacing w:before="100" w:beforeAutospacing="1" w:after="100" w:afterAutospacing="1"/>
      <w:widowControl/>
    </w:pPr>
    <w:rPr>
      <w:rFonts w:ascii="宋体" w:hAnsi="宋体" w:cs="宋体"/>
      <w:sz w:val="24"/>
      <w:szCs w:val="24"/>
    </w:rPr>
  </w:style>
  <w:style w:type="paragraph" w:styleId="1020" w:customStyle="1">
    <w:name w:val="Char Char Char Char Char Char Char Char"/>
    <w:basedOn w:val="735"/>
    <w:uiPriority w:val="0"/>
    <w:qFormat/>
    <w:pPr>
      <w:jc w:val="left"/>
      <w:spacing w:after="160" w:line="240" w:lineRule="exact"/>
      <w:widowControl/>
    </w:pPr>
    <w:rPr>
      <w:rFonts w:ascii="Verdana" w:hAnsi="Verdana"/>
      <w:sz w:val="20"/>
      <w:szCs w:val="20"/>
      <w:lang w:eastAsia="en-US"/>
    </w:rPr>
  </w:style>
  <w:style w:type="paragraph" w:styleId="1021" w:customStyle="1">
    <w:name w:val="font7"/>
    <w:basedOn w:val="735"/>
    <w:uiPriority w:val="0"/>
    <w:qFormat/>
    <w:pPr>
      <w:jc w:val="left"/>
      <w:spacing w:before="100" w:beforeAutospacing="1" w:after="100" w:afterAutospacing="1"/>
      <w:widowControl/>
    </w:pPr>
    <w:rPr>
      <w:rFonts w:hint="eastAsia" w:ascii="宋体" w:hAnsi="宋体"/>
      <w:sz w:val="18"/>
      <w:szCs w:val="18"/>
    </w:rPr>
  </w:style>
  <w:style w:type="paragraph" w:styleId="1022" w:customStyle="1">
    <w:name w:val="索引 11"/>
    <w:basedOn w:val="735"/>
    <w:next w:val="735"/>
    <w:uiPriority w:val="0"/>
    <w:semiHidden/>
    <w:qFormat/>
    <w:pPr>
      <w:spacing w:line="240" w:lineRule="atLeast"/>
    </w:pPr>
    <w:rPr>
      <w:b/>
      <w:bCs/>
    </w:rPr>
  </w:style>
  <w:style w:type="paragraph" w:styleId="1023" w:customStyle="1">
    <w:name w:val="目录 61"/>
    <w:basedOn w:val="735"/>
    <w:next w:val="735"/>
    <w:uiPriority w:val="0"/>
    <w:semiHidden/>
    <w:qFormat/>
    <w:pPr>
      <w:ind w:left="1050"/>
      <w:jc w:val="left"/>
    </w:pPr>
  </w:style>
  <w:style w:type="paragraph" w:styleId="1024" w:customStyle="1">
    <w:name w:val="Char Char Char Char Char Char Char Char1"/>
    <w:basedOn w:val="735"/>
    <w:uiPriority w:val="0"/>
    <w:qFormat/>
    <w:pPr>
      <w:jc w:val="left"/>
      <w:spacing w:after="160" w:line="240" w:lineRule="exact"/>
      <w:widowControl/>
    </w:pPr>
    <w:rPr>
      <w:rFonts w:ascii="Verdana" w:hAnsi="Verdana"/>
      <w:sz w:val="20"/>
      <w:szCs w:val="20"/>
      <w:lang w:eastAsia="en-US"/>
    </w:rPr>
  </w:style>
  <w:style w:type="paragraph" w:styleId="1025" w:customStyle="1">
    <w:name w:val="table_lines"/>
    <w:basedOn w:val="735"/>
    <w:uiPriority w:val="0"/>
    <w:qFormat/>
    <w:pPr>
      <w:jc w:val="left"/>
      <w:widowControl/>
    </w:pPr>
    <w:rPr>
      <w:sz w:val="20"/>
      <w:szCs w:val="20"/>
      <w:lang w:val="de-DE" w:eastAsia="de-DE"/>
    </w:rPr>
  </w:style>
  <w:style w:type="paragraph" w:styleId="1026" w:customStyle="1">
    <w:name w:val="Char"/>
    <w:basedOn w:val="957"/>
    <w:uiPriority w:val="0"/>
    <w:qFormat/>
    <w:rPr>
      <w:rFonts w:ascii="Tahoma" w:hAnsi="Tahoma"/>
      <w:sz w:val="24"/>
      <w:szCs w:val="24"/>
    </w:rPr>
  </w:style>
  <w:style w:type="paragraph" w:styleId="102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9" w:customStyle="1">
    <w:name w:val="图表目录1"/>
    <w:basedOn w:val="735"/>
    <w:next w:val="735"/>
    <w:uiPriority w:val="0"/>
    <w:semiHidden/>
    <w:qFormat/>
    <w:pPr>
      <w:ind w:left="840" w:hanging="420"/>
    </w:pPr>
  </w:style>
  <w:style w:type="paragraph" w:styleId="1030" w:customStyle="1">
    <w:name w:val="Body Text(ch)"/>
    <w:basedOn w:val="735"/>
    <w:next w:val="999"/>
    <w:uiPriority w:val="0"/>
    <w:qFormat/>
    <w:pPr>
      <w:spacing w:after="120"/>
    </w:pPr>
    <w:rPr>
      <w:rFonts w:ascii="宋体" w:hAnsi="Arial"/>
      <w:bCs/>
      <w:iCs/>
      <w:szCs w:val="24"/>
    </w:rPr>
  </w:style>
  <w:style w:type="paragraph" w:styleId="1031" w:customStyle="1">
    <w:name w:val="目录 91"/>
    <w:basedOn w:val="735"/>
    <w:next w:val="735"/>
    <w:uiPriority w:val="0"/>
    <w:semiHidden/>
    <w:qFormat/>
    <w:pPr>
      <w:ind w:left="1680"/>
      <w:jc w:val="left"/>
    </w:pPr>
  </w:style>
  <w:style w:type="paragraph" w:styleId="1032" w:customStyle="1">
    <w:name w:val="目录 11"/>
    <w:basedOn w:val="735"/>
    <w:next w:val="735"/>
    <w:uiPriority w:val="0"/>
    <w:semiHidden/>
    <w:qFormat/>
    <w:pPr>
      <w:jc w:val="left"/>
      <w:spacing w:before="120" w:after="120" w:line="400" w:lineRule="exact"/>
      <w:tabs>
        <w:tab w:val="right" w:pos="8720" w:leader="dot"/>
      </w:tabs>
    </w:pPr>
    <w:rPr>
      <w:rFonts w:ascii="宋体" w:hAnsi="宋体"/>
      <w:caps/>
      <w:sz w:val="24"/>
      <w:szCs w:val="24"/>
    </w:rPr>
  </w:style>
  <w:style w:type="paragraph" w:styleId="1033" w:customStyle="1">
    <w:name w:val="xl28"/>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4" w:customStyle="1">
    <w:name w:val="目录 21"/>
    <w:basedOn w:val="735"/>
    <w:next w:val="735"/>
    <w:uiPriority w:val="0"/>
    <w:semiHidden/>
    <w:qFormat/>
    <w:pPr>
      <w:ind w:left="210"/>
      <w:jc w:val="left"/>
    </w:pPr>
    <w:rPr>
      <w:smallCaps/>
      <w:szCs w:val="24"/>
    </w:rPr>
  </w:style>
  <w:style w:type="paragraph" w:styleId="1035" w:customStyle="1">
    <w:name w:val="普通 (Web)"/>
    <w:basedOn w:val="735"/>
    <w:uiPriority w:val="0"/>
    <w:qFormat/>
    <w:pPr>
      <w:jc w:val="left"/>
      <w:spacing w:before="100" w:beforeAutospacing="1" w:after="100" w:afterAutospacing="1"/>
      <w:widowControl/>
    </w:pPr>
    <w:rPr>
      <w:rFonts w:ascii="宋体" w:hAnsi="宋体"/>
      <w:sz w:val="24"/>
      <w:szCs w:val="24"/>
    </w:rPr>
  </w:style>
  <w:style w:type="paragraph" w:styleId="1036" w:customStyle="1">
    <w:name w:val="列出段落2"/>
    <w:basedOn w:val="735"/>
    <w:uiPriority w:val="0"/>
    <w:qFormat/>
    <w:pPr>
      <w:contextualSpacing/>
      <w:ind w:left="720"/>
      <w:jc w:val="left"/>
      <w:widowControl/>
    </w:pPr>
    <w:rPr>
      <w:rFonts w:ascii="Calibri" w:hAnsi="Calibri"/>
      <w:sz w:val="24"/>
      <w:szCs w:val="24"/>
      <w:lang w:eastAsia="en-US" w:bidi="en-US"/>
    </w:rPr>
  </w:style>
  <w:style w:type="paragraph" w:styleId="1037" w:customStyle="1">
    <w:name w:val="普通正文"/>
    <w:basedOn w:val="735"/>
    <w:uiPriority w:val="0"/>
    <w:qFormat/>
    <w:pPr>
      <w:ind w:firstLine="480"/>
      <w:jc w:val="left"/>
      <w:spacing w:before="120" w:after="120" w:line="360" w:lineRule="auto"/>
    </w:pPr>
    <w:rPr>
      <w:rFonts w:ascii="Arial" w:hAnsi="Arial"/>
      <w:sz w:val="24"/>
      <w:szCs w:val="24"/>
    </w:rPr>
  </w:style>
  <w:style w:type="paragraph" w:styleId="1038" w:customStyle="1">
    <w:name w:val="目录 71"/>
    <w:basedOn w:val="735"/>
    <w:next w:val="735"/>
    <w:uiPriority w:val="0"/>
    <w:semiHidden/>
    <w:qFormat/>
    <w:pPr>
      <w:ind w:left="1260"/>
      <w:jc w:val="left"/>
    </w:pPr>
  </w:style>
  <w:style w:type="paragraph" w:styleId="1039" w:customStyle="1">
    <w:name w:val="目录 41"/>
    <w:basedOn w:val="735"/>
    <w:next w:val="735"/>
    <w:uiPriority w:val="0"/>
    <w:semiHidden/>
    <w:qFormat/>
    <w:pPr>
      <w:ind w:left="630"/>
      <w:jc w:val="left"/>
    </w:pPr>
  </w:style>
  <w:style w:type="paragraph" w:styleId="1040" w:customStyle="1">
    <w:name w:val="xl26"/>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1" w:customStyle="1">
    <w:name w:val="xl29"/>
    <w:basedOn w:val="73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2" w:customStyle="1">
    <w:name w:val="Char1"/>
    <w:basedOn w:val="735"/>
    <w:uiPriority w:val="0"/>
    <w:qFormat/>
    <w:pPr>
      <w:ind w:firstLine="200"/>
      <w:tabs>
        <w:tab w:val="left" w:pos="360" w:leader="none"/>
      </w:tabs>
    </w:pPr>
    <w:rPr>
      <w:sz w:val="28"/>
      <w:szCs w:val="30"/>
    </w:rPr>
  </w:style>
  <w:style w:type="paragraph" w:styleId="1043" w:customStyle="1">
    <w:name w:val="4"/>
    <w:basedOn w:val="735"/>
    <w:next w:val="1001"/>
    <w:uiPriority w:val="0"/>
    <w:qFormat/>
    <w:pPr>
      <w:ind w:firstLine="420"/>
      <w:spacing w:line="360" w:lineRule="auto"/>
    </w:pPr>
    <w:rPr>
      <w:color w:val="ff0000"/>
      <w:sz w:val="24"/>
      <w:szCs w:val="24"/>
    </w:rPr>
  </w:style>
  <w:style w:type="paragraph" w:styleId="1044" w:customStyle="1">
    <w:name w:val="Char Char Char Char Char Char Char Char Char Char"/>
    <w:basedOn w:val="735"/>
    <w:uiPriority w:val="0"/>
    <w:qFormat/>
    <w:pPr>
      <w:spacing w:line="360" w:lineRule="auto"/>
    </w:pPr>
    <w:rPr>
      <w:sz w:val="24"/>
      <w:szCs w:val="20"/>
    </w:rPr>
  </w:style>
  <w:style w:type="paragraph" w:styleId="1045" w:customStyle="1">
    <w:name w:val="样式1"/>
    <w:basedOn w:val="735"/>
    <w:uiPriority w:val="0"/>
    <w:qFormat/>
    <w:pPr>
      <w:numPr>
        <w:ilvl w:val="0"/>
        <w:numId w:val="3"/>
      </w:numPr>
    </w:pPr>
    <w:rPr>
      <w:rFonts w:ascii="宋体" w:hAnsi="宋体"/>
    </w:rPr>
  </w:style>
  <w:style w:type="paragraph" w:styleId="1046" w:customStyle="1">
    <w:name w:val="标题3"/>
    <w:basedOn w:val="735"/>
    <w:next w:val="735"/>
    <w:uiPriority w:val="0"/>
    <w:qFormat/>
    <w:pPr>
      <w:ind w:firstLine="624"/>
      <w:spacing w:line="590" w:lineRule="atLeast"/>
    </w:pPr>
    <w:rPr>
      <w:rFonts w:ascii="方正黑体_GBK" w:eastAsia="方正黑体_GBK"/>
      <w:sz w:val="32"/>
      <w:szCs w:val="32"/>
    </w:rPr>
  </w:style>
  <w:style w:type="paragraph" w:styleId="1047" w:customStyle="1">
    <w:name w:val="Char Char Char Char1"/>
    <w:basedOn w:val="957"/>
    <w:uiPriority w:val="0"/>
    <w:qFormat/>
    <w:pPr>
      <w:spacing w:line="360" w:lineRule="auto"/>
    </w:pPr>
    <w:rPr>
      <w:rFonts w:ascii="Tahoma" w:hAnsi="Tahoma"/>
      <w:sz w:val="24"/>
      <w:szCs w:val="24"/>
    </w:rPr>
  </w:style>
  <w:style w:type="paragraph" w:styleId="1048" w:customStyle="1">
    <w:name w:val="table_1stline"/>
    <w:basedOn w:val="735"/>
    <w:uiPriority w:val="0"/>
    <w:qFormat/>
    <w:pPr>
      <w:jc w:val="left"/>
      <w:spacing w:before="120"/>
      <w:widowControl/>
    </w:pPr>
    <w:rPr>
      <w:bCs/>
      <w:sz w:val="20"/>
      <w:szCs w:val="20"/>
      <w:lang w:val="de-DE" w:eastAsia="de-DE"/>
    </w:rPr>
  </w:style>
  <w:style w:type="table" w:styleId="1049" w:customStyle="1">
    <w:name w:val="网格型1"/>
    <w:basedOn w:val="950"/>
    <w:uiPriority w:val="0"/>
    <w:qFormat/>
    <w:pPr>
      <w:jc w:val="both"/>
      <w:widowControl w:val="off"/>
    </w:pPr>
    <w:tblPr>
      <w:tblLayout w:type="fixed"/>
      <w:tblCellMar>
        <w:left w:w="0" w:type="dxa"/>
        <w:top w:w="0" w:type="dxa"/>
        <w:right w:w="0" w:type="dxa"/>
        <w:bottom w:w="0" w:type="dxa"/>
      </w:tblCellMar>
    </w:tblPr>
  </w:style>
  <w:style w:type="paragraph" w:styleId="1050" w:customStyle="1">
    <w:name w:val="Table Paragraph"/>
    <w:basedOn w:val="735"/>
    <w:uiPriority w:val="1"/>
    <w:qFormat/>
    <w:pPr>
      <w:jc w:val="left"/>
    </w:pPr>
    <w:rPr>
      <w:sz w:val="24"/>
      <w:szCs w:val="24"/>
    </w:rPr>
  </w:style>
  <w:style w:type="character" w:styleId="1051" w:customStyle="1">
    <w:name w:val="font11"/>
    <w:basedOn w:val="745"/>
    <w:uiPriority w:val="0"/>
    <w:qFormat/>
    <w:rPr>
      <w:rFonts w:hint="eastAsia" w:ascii="宋体" w:hAnsi="宋体" w:eastAsia="宋体" w:cs="宋体"/>
      <w:color w:val="000000"/>
      <w:sz w:val="24"/>
      <w:szCs w:val="24"/>
      <w:u w:val="none"/>
    </w:rPr>
  </w:style>
  <w:style w:type="paragraph" w:styleId="1052" w:customStyle="1">
    <w:name w:val="纯文本11"/>
    <w:basedOn w:val="735"/>
    <w:uiPriority w:val="99"/>
    <w:qFormat/>
    <w:rPr>
      <w:rFonts w:ascii="宋体" w:hAnsi="Courier New" w:cs="Calibri"/>
      <w:sz w:val="20"/>
    </w:rPr>
  </w:style>
  <w:style w:type="paragraph" w:styleId="1053" w:customStyle="1">
    <w:name w:val="_Style 17"/>
    <w:basedOn w:val="735"/>
    <w:next w:val="800"/>
    <w:uiPriority w:val="99"/>
    <w:qFormat/>
    <w:pPr>
      <w:ind w:firstLine="420"/>
    </w:pPr>
  </w:style>
  <w:style w:type="paragraph" w:styleId="1054" w:customStyle="1">
    <w:name w:val="正文文本缩进11"/>
    <w:basedOn w:val="735"/>
    <w:next w:val="735"/>
    <w:uiPriority w:val="99"/>
    <w:unhideWhenUsed/>
    <w:qFormat/>
    <w:pPr>
      <w:ind w:firstLine="540"/>
      <w:spacing w:line="400" w:lineRule="exact"/>
    </w:pPr>
    <w:rPr>
      <w:sz w:val="24"/>
    </w:rPr>
  </w:style>
  <w:style w:type="character" w:styleId="1055" w:customStyle="1">
    <w:name w:val="font31"/>
    <w:basedOn w:val="745"/>
    <w:uiPriority w:val="0"/>
    <w:qFormat/>
    <w:rPr>
      <w:rFonts w:hint="eastAsia" w:ascii="仿宋_GB2312" w:eastAsia="仿宋_GB2312" w:cs="仿宋_GB2312"/>
      <w:color w:val="000000"/>
      <w:sz w:val="22"/>
      <w:szCs w:val="22"/>
      <w:u w:val="none"/>
    </w:rPr>
  </w:style>
  <w:style w:type="character" w:styleId="1056" w:customStyle="1">
    <w:name w:val="font41"/>
    <w:basedOn w:val="745"/>
    <w:uiPriority w:val="0"/>
    <w:qFormat/>
    <w:rPr>
      <w:rFonts w:hint="eastAsia" w:ascii="仿宋_GB2312" w:eastAsia="仿宋_GB2312" w:cs="仿宋_GB2312"/>
      <w:color w:val="ff0000"/>
      <w:sz w:val="22"/>
      <w:szCs w:val="22"/>
      <w:u w:val="none"/>
    </w:rPr>
  </w:style>
  <w:style w:type="numbering" w:styleId="85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姚红俊</cp:lastModifiedBy>
  <cp:revision>38</cp:revision>
  <dcterms:created xsi:type="dcterms:W3CDTF">2023-03-16T02:16:00Z</dcterms:created>
  <dcterms:modified xsi:type="dcterms:W3CDTF">2026-05-09T01:04:23Z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eyJoZGlkIjoiZGIzMGMxN2VhMzllNDdkOTMzOTRmMTg1ODFiMjk1YTUiLCJ1c2VySWQiOiI1NzA0MTgyNDIifQ==</vt:lpwstr>
  </property>
  <property fmtid="{D5CDD505-2E9C-101B-9397-08002B2CF9AE}" pid="3" name="KSOProductBuildVer">
    <vt:lpwstr>2052-10.8.2.7072</vt:lpwstr>
  </property>
  <property fmtid="{D5CDD505-2E9C-101B-9397-08002B2CF9AE}" pid="4" name="ICV">
    <vt:lpwstr>7F0BC57952C342A49EAA2669A0B656BE_12</vt:lpwstr>
  </property>
</Properties>
</file>